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微软雅黑" w:hAnsi="微软雅黑" w:eastAsia="微软雅黑"/>
          <w:b/>
          <w:bCs/>
          <w:color w:val="000000"/>
          <w:sz w:val="44"/>
          <w:szCs w:val="44"/>
        </w:rPr>
      </w:pPr>
    </w:p>
    <w:p>
      <w:pPr>
        <w:spacing w:line="360" w:lineRule="auto"/>
        <w:jc w:val="center"/>
        <w:rPr>
          <w:rFonts w:hint="eastAsia" w:ascii="微软雅黑" w:hAnsi="微软雅黑" w:eastAsia="微软雅黑" w:cs="微软雅黑"/>
          <w:b/>
          <w:bCs w:val="0"/>
          <w:color w:val="0A358B"/>
          <w:sz w:val="20"/>
          <w:szCs w:val="20"/>
        </w:rPr>
      </w:pPr>
      <w:r>
        <mc:AlternateContent>
          <mc:Choice Requires="wpg">
            <w:drawing>
              <wp:anchor distT="0" distB="0" distL="114300" distR="114300" simplePos="0" relativeHeight="251673600" behindDoc="0" locked="0" layoutInCell="1" allowOverlap="1">
                <wp:simplePos x="0" y="0"/>
                <wp:positionH relativeFrom="column">
                  <wp:posOffset>189865</wp:posOffset>
                </wp:positionH>
                <wp:positionV relativeFrom="paragraph">
                  <wp:posOffset>641985</wp:posOffset>
                </wp:positionV>
                <wp:extent cx="4883785" cy="105410"/>
                <wp:effectExtent l="6350" t="6350" r="5715" b="21590"/>
                <wp:wrapNone/>
                <wp:docPr id="51" name="组合 17"/>
                <wp:cNvGraphicFramePr/>
                <a:graphic xmlns:a="http://schemas.openxmlformats.org/drawingml/2006/main">
                  <a:graphicData uri="http://schemas.microsoft.com/office/word/2010/wordprocessingGroup">
                    <wpg:wgp>
                      <wpg:cNvGrpSpPr/>
                      <wpg:grpSpPr>
                        <a:xfrm>
                          <a:off x="0" y="0"/>
                          <a:ext cx="4883785" cy="105497"/>
                          <a:chOff x="2101845" y="3387257"/>
                          <a:chExt cx="7551038" cy="105497"/>
                        </a:xfrm>
                      </wpg:grpSpPr>
                      <wps:wsp>
                        <wps:cNvPr id="52" name="直接连接符 15"/>
                        <wps:cNvCnPr/>
                        <wps:spPr>
                          <a:xfrm>
                            <a:off x="2369489" y="3440005"/>
                            <a:ext cx="7283394" cy="0"/>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53" name="椭圆 16"/>
                        <wps:cNvSpPr/>
                        <wps:spPr>
                          <a:xfrm>
                            <a:off x="2101845" y="3387257"/>
                            <a:ext cx="105497" cy="105497"/>
                          </a:xfrm>
                          <a:prstGeom prst="ellipse">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组合 17" o:spid="_x0000_s1026" o:spt="203" style="position:absolute;left:0pt;margin-left:14.95pt;margin-top:50.55pt;height:8.3pt;width:384.55pt;z-index:251673600;mso-width-relative:page;mso-height-relative:page;" coordorigin="2101845,3387257" coordsize="7551038,105497" o:gfxdata="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FgAAAGRycy9QSwECFAAUAAAACACHTuJAjrPi2NkAAAAKAQAADwAA&#10;AAAAAAABACAAAAA4AAAAZHJzL2Rvd25yZXYueG1sUEsBAhQAFAAAAAgAh07iQFO5W0zjAgAAyQcA&#10;AA4AAAAAAAAAAQAgAAAAPgEAAGRycy9lMm9Eb2MueG1sUEsFBgAAAAAGAAYAWQEAAJMGAAAAAA==&#10;">
                <o:lock v:ext="edit" aspectratio="f"/>
                <v:line id="直接连接符 15" o:spid="_x0000_s1026" o:spt="20" style="position:absolute;left:2369489;top:3440005;height:0;width:7283394;" filled="f" stroked="t" coordsize="21600,21600" o:gfxdata="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vdOJ7vAAAANsAAAAPAAAAAAAAAAEAIAAAADgAAABkcnMvZG93bnJldi54&#10;bWxQSwECFAAUAAAACACHTuJAMy8FnjsAAAA5AAAAEAAAAAAAAAABACAAAAAhAQAAZHJzL3NoYXBl&#10;eG1sLnhtbFBLBQYAAAAABgAGAFsBAADLAwAAAAA=&#10;">
                  <v:fill on="f" focussize="0,0"/>
                  <v:stroke weight="2.25pt" color="#404040 [2429]" miterlimit="8" joinstyle="miter"/>
                  <v:imagedata o:title=""/>
                  <o:lock v:ext="edit" aspectratio="f"/>
                </v:line>
                <v:shape id="椭圆 16" o:spid="_x0000_s1026" o:spt="3" type="#_x0000_t3" style="position:absolute;left:2101845;top:3387257;height:105497;width:105497;v-text-anchor:middle;" fillcolor="#404040 [2429]" filled="t" stroked="t" coordsize="21600,21600" o:gfxdata="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TQCNr0AAADbAAAADwAAAAAAAAABACAAAAA4AAAAZHJzL2Rvd25yZXYu&#10;eG1sUEsBAhQAFAAAAAgAh07iQDMvBZ47AAAAOQAAABAAAAAAAAAAAQAgAAAAIgEAAGRycy9zaGFw&#10;ZXhtbC54bWxQSwUGAAAAAAYABgBbAQAAzAMAAAAA&#10;">
                  <v:fill on="t" focussize="0,0"/>
                  <v:stroke weight="1pt" color="#404040 [2429]" miterlimit="8" joinstyle="miter"/>
                  <v:imagedata o:title=""/>
                  <o:lock v:ext="edit" aspectratio="f"/>
                </v:shape>
              </v:group>
            </w:pict>
          </mc:Fallback>
        </mc:AlternateContent>
      </w:r>
      <w:r>
        <w:rPr>
          <w:rFonts w:hint="eastAsia" w:ascii="微软雅黑" w:hAnsi="微软雅黑" w:eastAsia="微软雅黑" w:cs="微软雅黑"/>
          <w:b/>
          <w:color w:val="auto"/>
          <w:sz w:val="56"/>
          <w:szCs w:val="56"/>
          <w:shd w:val="clear" w:color="auto" w:fill="auto"/>
        </w:rPr>
        <w:t>2021年度</w:t>
      </w:r>
    </w:p>
    <w:p>
      <w:pPr>
        <w:spacing w:line="360" w:lineRule="auto"/>
        <w:jc w:val="center"/>
        <w:rPr>
          <w:rFonts w:hint="eastAsia" w:ascii="微软雅黑" w:hAnsi="微软雅黑" w:eastAsia="微软雅黑" w:cs="微软雅黑"/>
          <w:b/>
          <w:color w:val="1F4E79" w:themeColor="accent1" w:themeShade="80"/>
          <w:sz w:val="72"/>
          <w:szCs w:val="72"/>
        </w:rPr>
      </w:pPr>
      <w:r>
        <w:rPr>
          <w:rFonts w:hint="eastAsia" w:ascii="微软雅黑" w:hAnsi="微软雅黑" w:eastAsia="微软雅黑" w:cs="微软雅黑"/>
          <w:b/>
          <w:bCs w:val="0"/>
          <w:color w:val="0A358B"/>
          <w:sz w:val="72"/>
          <w:szCs w:val="72"/>
        </w:rPr>
        <w:t>四川省演出市场发展报告</w:t>
      </w:r>
    </w:p>
    <w:p>
      <w:pPr>
        <w:spacing w:line="360" w:lineRule="auto"/>
        <w:jc w:val="center"/>
        <w:rPr>
          <w:rFonts w:hint="eastAsia" w:ascii="Impact" w:hAnsi="Impact" w:eastAsia="宋体" w:cs="Times New Roman"/>
          <w:b w:val="0"/>
          <w:bCs/>
          <w:color w:val="auto"/>
          <w:spacing w:val="20"/>
          <w:sz w:val="48"/>
          <w:szCs w:val="48"/>
        </w:rPr>
      </w:pPr>
      <w:r>
        <w:rPr>
          <w:rFonts w:hint="eastAsia" w:ascii="Impact" w:hAnsi="Impact" w:eastAsia="宋体" w:cs="Times New Roman"/>
          <w:b w:val="0"/>
          <w:bCs/>
          <w:color w:val="auto"/>
          <w:spacing w:val="23"/>
          <w:kern w:val="10"/>
          <w:sz w:val="48"/>
          <w:szCs w:val="48"/>
          <w:lang w:val="en-US" w:eastAsia="zh-CN"/>
        </w:rPr>
        <w:t>ANNUAL REPORT</w:t>
      </w:r>
    </w:p>
    <w:p>
      <w:pPr>
        <w:jc w:val="center"/>
        <w:rPr>
          <w:rFonts w:ascii="微软雅黑" w:hAnsi="微软雅黑" w:eastAsia="微软雅黑"/>
          <w:b/>
          <w:bCs/>
          <w:color w:val="000000"/>
          <w:sz w:val="44"/>
          <w:szCs w:val="44"/>
        </w:rPr>
      </w:pPr>
    </w:p>
    <w:p>
      <w:pPr>
        <w:jc w:val="center"/>
        <w:rPr>
          <w:rFonts w:ascii="微软雅黑" w:hAnsi="微软雅黑" w:eastAsia="微软雅黑"/>
          <w:b/>
          <w:bCs/>
          <w:color w:val="000000"/>
          <w:sz w:val="44"/>
          <w:szCs w:val="44"/>
        </w:rPr>
      </w:pPr>
    </w:p>
    <w:p>
      <w:pPr>
        <w:jc w:val="center"/>
        <w:rPr>
          <w:rFonts w:ascii="微软雅黑" w:hAnsi="微软雅黑" w:eastAsia="微软雅黑"/>
          <w:b/>
          <w:bCs/>
          <w:color w:val="000000"/>
          <w:sz w:val="44"/>
          <w:szCs w:val="44"/>
        </w:rPr>
      </w:pPr>
    </w:p>
    <w:p>
      <w:pPr>
        <w:jc w:val="center"/>
        <w:rPr>
          <w:rFonts w:ascii="微软雅黑" w:hAnsi="微软雅黑" w:eastAsia="微软雅黑"/>
          <w:b/>
          <w:bCs/>
          <w:color w:val="000000"/>
          <w:sz w:val="44"/>
          <w:szCs w:val="44"/>
        </w:rPr>
      </w:pPr>
    </w:p>
    <w:p>
      <w:pPr>
        <w:jc w:val="both"/>
        <w:rPr>
          <w:rFonts w:ascii="微软雅黑" w:hAnsi="微软雅黑" w:eastAsia="微软雅黑"/>
          <w:b/>
          <w:bCs/>
          <w:color w:val="000000"/>
          <w:sz w:val="44"/>
          <w:szCs w:val="44"/>
        </w:rPr>
      </w:pPr>
    </w:p>
    <w:p>
      <w:pPr>
        <w:pStyle w:val="17"/>
        <w:rPr>
          <w:rFonts w:ascii="微软雅黑" w:hAnsi="微软雅黑" w:eastAsia="微软雅黑"/>
          <w:b/>
          <w:bCs/>
          <w:color w:val="000000"/>
          <w:sz w:val="44"/>
          <w:szCs w:val="44"/>
        </w:rPr>
      </w:pPr>
    </w:p>
    <w:p/>
    <w:p>
      <w:pPr>
        <w:jc w:val="center"/>
        <w:rPr>
          <w:rFonts w:ascii="微软雅黑" w:hAnsi="微软雅黑" w:eastAsia="微软雅黑"/>
          <w:b/>
          <w:bCs/>
          <w:color w:val="000000"/>
          <w:sz w:val="36"/>
          <w:szCs w:val="36"/>
        </w:rPr>
      </w:pPr>
      <w:r>
        <mc:AlternateContent>
          <mc:Choice Requires="wps">
            <w:drawing>
              <wp:anchor distT="0" distB="0" distL="114300" distR="114300" simplePos="0" relativeHeight="251672576" behindDoc="0" locked="0" layoutInCell="1" allowOverlap="1">
                <wp:simplePos x="0" y="0"/>
                <wp:positionH relativeFrom="column">
                  <wp:posOffset>1333500</wp:posOffset>
                </wp:positionH>
                <wp:positionV relativeFrom="paragraph">
                  <wp:posOffset>152400</wp:posOffset>
                </wp:positionV>
                <wp:extent cx="2766695" cy="603885"/>
                <wp:effectExtent l="0" t="0" r="14605" b="5715"/>
                <wp:wrapNone/>
                <wp:docPr id="9" name="文本框 21"/>
                <wp:cNvGraphicFramePr/>
                <a:graphic xmlns:a="http://schemas.openxmlformats.org/drawingml/2006/main">
                  <a:graphicData uri="http://schemas.microsoft.com/office/word/2010/wordprocessingShape">
                    <wps:wsp>
                      <wps:cNvSpPr txBox="1"/>
                      <wps:spPr>
                        <a:xfrm>
                          <a:off x="0" y="0"/>
                          <a:ext cx="2766695" cy="603885"/>
                        </a:xfrm>
                        <a:prstGeom prst="roundRect">
                          <a:avLst>
                            <a:gd name="adj" fmla="val 50000"/>
                          </a:avLst>
                        </a:prstGeom>
                        <a:solidFill>
                          <a:srgbClr val="FADE40"/>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ascii="方正小标宋简体" w:hAnsi="方正小标宋简体" w:eastAsia="方正小标宋简体" w:cs="方正小标宋简体"/>
                                <w:b w:val="0"/>
                                <w:bCs w:val="0"/>
                                <w:color w:val="000000"/>
                                <w:sz w:val="32"/>
                                <w:szCs w:val="32"/>
                              </w:rPr>
                              <w:t xml:space="preserve"> 四川省演出娱乐行业协会</w:t>
                            </w:r>
                          </w:p>
                        </w:txbxContent>
                      </wps:txbx>
                      <wps:bodyPr rtlCol="0" anchor="ctr"/>
                    </wps:wsp>
                  </a:graphicData>
                </a:graphic>
              </wp:anchor>
            </w:drawing>
          </mc:Choice>
          <mc:Fallback>
            <w:pict>
              <v:roundrect id="文本框 21" o:spid="_x0000_s1026" o:spt="2" style="position:absolute;left:0pt;margin-left:105pt;margin-top:12pt;height:47.55pt;width:217.85pt;z-index:251672576;v-text-anchor:middle;mso-width-relative:page;mso-height-relative:page;" fillcolor="#FADE40" filled="t" stroked="f" coordsize="21600,21600" arcsize="0.5" o:gfxdata="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v/k349cAAAAKAQAADwAAAAAAAAABACAAAAA4AAAAZHJzL2Rvd25yZXYueG1sUEsB&#10;AhQAFAAAAAgAh07iQPao6gAZAgAADwQAAA4AAAAAAAAAAQAgAAAAPAEAAGRycy9lMm9Eb2MueG1s&#10;UEsFBgAAAAAGAAYAWQEAAMcFAAAAAA==&#10;">
                <v:fill on="t" focussize="0,0"/>
                <v:stroke on="f" weight="0.25pt" miterlimit="8" joinstyle="miter"/>
                <v:imagedata o:title=""/>
                <o:lock v:ext="edit" aspectratio="f"/>
                <v:textbox>
                  <w:txbxContent>
                    <w:p>
                      <w:r>
                        <w:rPr>
                          <w:rFonts w:hint="eastAsia" w:ascii="方正小标宋简体" w:hAnsi="方正小标宋简体" w:eastAsia="方正小标宋简体" w:cs="方正小标宋简体"/>
                          <w:b w:val="0"/>
                          <w:bCs w:val="0"/>
                          <w:color w:val="000000"/>
                          <w:sz w:val="32"/>
                          <w:szCs w:val="32"/>
                        </w:rPr>
                        <w:t xml:space="preserve"> 四川省演出娱乐行业协会</w:t>
                      </w:r>
                    </w:p>
                  </w:txbxContent>
                </v:textbox>
              </v:roundrect>
            </w:pict>
          </mc:Fallback>
        </mc:AlternateContent>
      </w:r>
    </w:p>
    <w:p>
      <w:pPr>
        <w:jc w:val="center"/>
        <w:rPr>
          <w:rFonts w:hint="eastAsia" w:ascii="方正小标宋简体" w:hAnsi="方正小标宋简体" w:eastAsia="方正小标宋简体" w:cs="方正小标宋简体"/>
          <w:b w:val="0"/>
          <w:bCs w:val="0"/>
          <w:color w:val="000000"/>
          <w:sz w:val="32"/>
          <w:szCs w:val="32"/>
        </w:rPr>
      </w:pPr>
    </w:p>
    <w:p>
      <w:pPr>
        <w:jc w:val="center"/>
        <w:rPr>
          <w:rFonts w:hint="eastAsia" w:ascii="方正小标宋简体" w:hAnsi="方正小标宋简体" w:eastAsia="方正小标宋简体" w:cs="方正小标宋简体"/>
          <w:b w:val="0"/>
          <w:bCs w:val="0"/>
          <w:color w:val="000000"/>
          <w:sz w:val="32"/>
          <w:szCs w:val="32"/>
        </w:rPr>
      </w:pPr>
      <w:r>
        <w:rPr>
          <w:rFonts w:hint="eastAsia" w:ascii="方正小标宋简体" w:hAnsi="方正小标宋简体" w:eastAsia="方正小标宋简体" w:cs="方正小标宋简体"/>
          <w:b w:val="0"/>
          <w:bCs w:val="0"/>
          <w:color w:val="000000"/>
          <w:sz w:val="32"/>
          <w:szCs w:val="32"/>
          <w:lang w:val="en-US" w:eastAsia="zh-CN"/>
        </w:rPr>
        <w:t>2022</w:t>
      </w:r>
      <w:r>
        <w:rPr>
          <w:rFonts w:hint="eastAsia" w:ascii="方正小标宋简体" w:hAnsi="方正小标宋简体" w:eastAsia="方正小标宋简体" w:cs="方正小标宋简体"/>
          <w:b w:val="0"/>
          <w:bCs w:val="0"/>
          <w:color w:val="000000"/>
          <w:sz w:val="32"/>
          <w:szCs w:val="32"/>
        </w:rPr>
        <w:t>年</w:t>
      </w:r>
      <w:r>
        <w:rPr>
          <w:rFonts w:hint="eastAsia" w:ascii="方正小标宋简体" w:hAnsi="方正小标宋简体" w:eastAsia="方正小标宋简体" w:cs="方正小标宋简体"/>
          <w:b w:val="0"/>
          <w:bCs w:val="0"/>
          <w:color w:val="000000"/>
          <w:sz w:val="32"/>
          <w:szCs w:val="32"/>
          <w:lang w:val="en-US" w:eastAsia="zh-CN"/>
        </w:rPr>
        <w:t>12</w:t>
      </w:r>
      <w:r>
        <w:rPr>
          <w:rFonts w:hint="eastAsia" w:ascii="方正小标宋简体" w:hAnsi="方正小标宋简体" w:eastAsia="方正小标宋简体" w:cs="方正小标宋简体"/>
          <w:b w:val="0"/>
          <w:bCs w:val="0"/>
          <w:color w:val="000000"/>
          <w:sz w:val="32"/>
          <w:szCs w:val="32"/>
        </w:rPr>
        <w:t>月</w:t>
      </w:r>
    </w:p>
    <w:p>
      <w:pPr>
        <w:jc w:val="center"/>
        <w:rPr>
          <w:b/>
          <w:bCs/>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b/>
          <w:bCs/>
          <w:color w:val="000000"/>
          <w:sz w:val="32"/>
          <w:szCs w:val="32"/>
        </w:rPr>
      </w:pPr>
      <w:r>
        <w:rPr>
          <w:b/>
          <w:bCs/>
          <w:color w:val="000000"/>
          <w:sz w:val="32"/>
          <w:szCs w:val="32"/>
        </w:rPr>
        <w:br w:type="page"/>
      </w: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keepNext w:val="0"/>
        <w:keepLines w:val="0"/>
        <w:widowControl/>
        <w:suppressLineNumbers w:val="0"/>
        <w:jc w:val="center"/>
        <w:rPr>
          <w:rFonts w:ascii="黑体" w:hAnsi="宋体" w:eastAsia="黑体" w:cs="黑体"/>
          <w:color w:val="000000"/>
          <w:kern w:val="0"/>
          <w:sz w:val="40"/>
          <w:szCs w:val="40"/>
          <w:lang w:val="en-US" w:eastAsia="zh-CN" w:bidi="ar"/>
        </w:rPr>
      </w:pPr>
    </w:p>
    <w:p>
      <w:pPr>
        <w:pStyle w:val="2"/>
        <w:rPr>
          <w:lang w:val="en-US" w:eastAsia="zh-CN"/>
        </w:rPr>
      </w:pPr>
    </w:p>
    <w:p>
      <w:pPr>
        <w:keepNext w:val="0"/>
        <w:keepLines w:val="0"/>
        <w:widowControl/>
        <w:suppressLineNumbers w:val="0"/>
        <w:jc w:val="center"/>
      </w:pPr>
      <w:r>
        <w:rPr>
          <w:rFonts w:ascii="黑体" w:hAnsi="宋体" w:eastAsia="黑体" w:cs="黑体"/>
          <w:color w:val="000000"/>
          <w:kern w:val="0"/>
          <w:sz w:val="40"/>
          <w:szCs w:val="40"/>
          <w:lang w:val="en-US" w:eastAsia="zh-CN" w:bidi="ar"/>
        </w:rPr>
        <w:t>《</w:t>
      </w:r>
      <w:r>
        <w:rPr>
          <w:rFonts w:hint="eastAsia" w:ascii="黑体" w:hAnsi="宋体" w:eastAsia="黑体" w:cs="黑体"/>
          <w:color w:val="000000"/>
          <w:kern w:val="0"/>
          <w:sz w:val="40"/>
          <w:szCs w:val="40"/>
          <w:lang w:val="en-US" w:eastAsia="zh-CN" w:bidi="ar"/>
        </w:rPr>
        <w:t>2021年度四川省演出市场发展报告</w:t>
      </w:r>
      <w:r>
        <w:rPr>
          <w:rFonts w:ascii="黑体" w:hAnsi="宋体" w:eastAsia="黑体" w:cs="黑体"/>
          <w:color w:val="000000"/>
          <w:kern w:val="0"/>
          <w:sz w:val="40"/>
          <w:szCs w:val="40"/>
          <w:lang w:val="en-US" w:eastAsia="zh-CN" w:bidi="ar"/>
        </w:rPr>
        <w:t>》</w:t>
      </w:r>
    </w:p>
    <w:p>
      <w:pPr>
        <w:keepNext w:val="0"/>
        <w:keepLines w:val="0"/>
        <w:widowControl/>
        <w:suppressLineNumbers w:val="0"/>
        <w:jc w:val="center"/>
      </w:pPr>
      <w:r>
        <w:rPr>
          <w:rFonts w:hint="eastAsia" w:ascii="黑体" w:hAnsi="宋体" w:eastAsia="黑体" w:cs="黑体"/>
          <w:color w:val="000000"/>
          <w:kern w:val="0"/>
          <w:sz w:val="40"/>
          <w:szCs w:val="40"/>
          <w:lang w:val="en-US" w:eastAsia="zh-CN" w:bidi="ar"/>
        </w:rPr>
        <w:t>编 写 组</w:t>
      </w:r>
    </w:p>
    <w:p>
      <w:pPr>
        <w:keepNext w:val="0"/>
        <w:keepLines w:val="0"/>
        <w:widowControl/>
        <w:suppressLineNumbers w:val="0"/>
        <w:jc w:val="left"/>
        <w:rPr>
          <w:rFonts w:ascii="等线" w:hAnsi="等线" w:eastAsia="等线" w:cs="等线"/>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720" w:lineRule="auto"/>
        <w:jc w:val="left"/>
        <w:textAlignment w:val="auto"/>
      </w:pPr>
      <w:r>
        <w:rPr>
          <w:rFonts w:ascii="等线" w:hAnsi="等线" w:eastAsia="等线" w:cs="等线"/>
          <w:color w:val="000000"/>
          <w:kern w:val="0"/>
          <w:sz w:val="36"/>
          <w:szCs w:val="36"/>
          <w:lang w:val="en-US" w:eastAsia="zh-CN" w:bidi="ar"/>
        </w:rPr>
        <w:t>主</w:t>
      </w:r>
      <w:r>
        <w:rPr>
          <w:rFonts w:hint="eastAsia" w:ascii="等线" w:hAnsi="等线" w:eastAsia="等线" w:cs="等线"/>
          <w:color w:val="000000"/>
          <w:kern w:val="0"/>
          <w:sz w:val="36"/>
          <w:szCs w:val="36"/>
          <w:lang w:val="en-US" w:eastAsia="zh-CN" w:bidi="ar"/>
        </w:rPr>
        <w:t xml:space="preserve">    编 ： 刘  传 </w:t>
      </w:r>
    </w:p>
    <w:p>
      <w:pPr>
        <w:keepNext w:val="0"/>
        <w:keepLines w:val="0"/>
        <w:pageBreakBefore w:val="0"/>
        <w:widowControl/>
        <w:suppressLineNumbers w:val="0"/>
        <w:kinsoku/>
        <w:wordWrap/>
        <w:overflowPunct/>
        <w:topLinePunct w:val="0"/>
        <w:autoSpaceDE/>
        <w:autoSpaceDN/>
        <w:bidi w:val="0"/>
        <w:adjustRightInd/>
        <w:snapToGrid/>
        <w:spacing w:line="720" w:lineRule="auto"/>
        <w:jc w:val="left"/>
        <w:textAlignment w:val="auto"/>
        <w:rPr>
          <w:rFonts w:hint="default"/>
          <w:lang w:val="en-US"/>
        </w:rPr>
      </w:pPr>
      <w:r>
        <w:rPr>
          <w:rFonts w:hint="eastAsia" w:ascii="等线" w:hAnsi="等线" w:eastAsia="等线" w:cs="等线"/>
          <w:color w:val="000000"/>
          <w:kern w:val="0"/>
          <w:sz w:val="36"/>
          <w:szCs w:val="36"/>
          <w:lang w:val="en-US" w:eastAsia="zh-CN" w:bidi="ar"/>
        </w:rPr>
        <w:t>副 主 编 ： 李  俐   邹  雪</w:t>
      </w:r>
    </w:p>
    <w:p>
      <w:pPr>
        <w:keepNext w:val="0"/>
        <w:keepLines w:val="0"/>
        <w:pageBreakBefore w:val="0"/>
        <w:widowControl/>
        <w:suppressLineNumbers w:val="0"/>
        <w:kinsoku/>
        <w:wordWrap/>
        <w:overflowPunct/>
        <w:topLinePunct w:val="0"/>
        <w:autoSpaceDE/>
        <w:autoSpaceDN/>
        <w:bidi w:val="0"/>
        <w:adjustRightInd/>
        <w:snapToGrid/>
        <w:spacing w:line="720" w:lineRule="auto"/>
        <w:jc w:val="left"/>
        <w:textAlignment w:val="auto"/>
        <w:rPr>
          <w:rFonts w:hint="eastAsia" w:ascii="等线" w:hAnsi="等线" w:eastAsia="等线" w:cs="等线"/>
          <w:color w:val="000000"/>
          <w:kern w:val="0"/>
          <w:sz w:val="36"/>
          <w:szCs w:val="36"/>
          <w:lang w:val="en-US" w:eastAsia="zh-CN" w:bidi="ar"/>
        </w:rPr>
      </w:pPr>
      <w:r>
        <w:rPr>
          <w:rFonts w:hint="eastAsia" w:ascii="等线" w:hAnsi="等线" w:eastAsia="等线" w:cs="等线"/>
          <w:color w:val="000000"/>
          <w:kern w:val="0"/>
          <w:sz w:val="36"/>
          <w:szCs w:val="36"/>
          <w:lang w:val="en-US" w:eastAsia="zh-CN" w:bidi="ar"/>
        </w:rPr>
        <w:t xml:space="preserve">编 写 组 ： 李小平   陆国庆   黄为民  </w:t>
      </w:r>
    </w:p>
    <w:p>
      <w:pPr>
        <w:keepNext w:val="0"/>
        <w:keepLines w:val="0"/>
        <w:pageBreakBefore w:val="0"/>
        <w:widowControl/>
        <w:suppressLineNumbers w:val="0"/>
        <w:kinsoku/>
        <w:wordWrap/>
        <w:overflowPunct/>
        <w:topLinePunct w:val="0"/>
        <w:autoSpaceDE/>
        <w:autoSpaceDN/>
        <w:bidi w:val="0"/>
        <w:adjustRightInd/>
        <w:snapToGrid/>
        <w:spacing w:line="720" w:lineRule="auto"/>
        <w:ind w:firstLine="2160" w:firstLineChars="600"/>
        <w:jc w:val="left"/>
        <w:textAlignment w:val="auto"/>
        <w:rPr>
          <w:rFonts w:hint="eastAsia" w:ascii="等线" w:hAnsi="等线" w:eastAsia="等线" w:cs="等线"/>
          <w:color w:val="000000"/>
          <w:kern w:val="0"/>
          <w:sz w:val="36"/>
          <w:szCs w:val="36"/>
          <w:lang w:val="en-US" w:eastAsia="zh-CN" w:bidi="ar"/>
        </w:rPr>
      </w:pPr>
      <w:r>
        <w:rPr>
          <w:rFonts w:hint="eastAsia" w:ascii="等线" w:hAnsi="等线" w:eastAsia="等线" w:cs="等线"/>
          <w:color w:val="000000"/>
          <w:kern w:val="0"/>
          <w:sz w:val="36"/>
          <w:szCs w:val="36"/>
          <w:lang w:val="en-US" w:eastAsia="zh-CN" w:bidi="ar"/>
        </w:rPr>
        <w:t>吴佳蔚   李冬妮   刘  川</w:t>
      </w:r>
    </w:p>
    <w:p>
      <w:pPr>
        <w:pStyle w:val="2"/>
        <w:keepNext w:val="0"/>
        <w:keepLines w:val="0"/>
        <w:pageBreakBefore w:val="0"/>
        <w:kinsoku/>
        <w:wordWrap/>
        <w:overflowPunct/>
        <w:topLinePunct w:val="0"/>
        <w:autoSpaceDE/>
        <w:autoSpaceDN/>
        <w:bidi w:val="0"/>
        <w:adjustRightInd/>
        <w:snapToGrid/>
        <w:spacing w:line="720" w:lineRule="auto"/>
        <w:textAlignment w:val="auto"/>
        <w:rPr>
          <w:rFonts w:hint="eastAsia" w:ascii="等线" w:hAnsi="等线" w:eastAsia="等线" w:cs="等线"/>
          <w:color w:val="000000"/>
          <w:kern w:val="0"/>
          <w:sz w:val="36"/>
          <w:szCs w:val="36"/>
          <w:lang w:val="en-US" w:eastAsia="zh-CN" w:bidi="ar"/>
        </w:rPr>
      </w:pPr>
      <w:r>
        <w:rPr>
          <w:rFonts w:hint="eastAsia" w:ascii="等线" w:hAnsi="等线" w:eastAsia="等线" w:cs="等线"/>
          <w:color w:val="000000"/>
          <w:kern w:val="0"/>
          <w:sz w:val="36"/>
          <w:szCs w:val="36"/>
          <w:lang w:val="en-US" w:eastAsia="zh-CN" w:bidi="ar"/>
        </w:rPr>
        <w:t xml:space="preserve">顾     问： 潘  燕   林戈尔   莫洪军  </w:t>
      </w:r>
    </w:p>
    <w:p>
      <w:pPr>
        <w:pStyle w:val="2"/>
        <w:keepNext w:val="0"/>
        <w:keepLines w:val="0"/>
        <w:pageBreakBefore w:val="0"/>
        <w:kinsoku/>
        <w:wordWrap/>
        <w:overflowPunct/>
        <w:topLinePunct w:val="0"/>
        <w:autoSpaceDE/>
        <w:autoSpaceDN/>
        <w:bidi w:val="0"/>
        <w:adjustRightInd/>
        <w:snapToGrid/>
        <w:spacing w:line="720" w:lineRule="auto"/>
        <w:ind w:firstLine="2160" w:firstLineChars="600"/>
        <w:textAlignment w:val="auto"/>
        <w:rPr>
          <w:rFonts w:hint="eastAsia" w:ascii="等线" w:hAnsi="等线" w:eastAsia="等线" w:cs="等线"/>
          <w:color w:val="000000"/>
          <w:kern w:val="0"/>
          <w:sz w:val="36"/>
          <w:szCs w:val="36"/>
          <w:lang w:val="en-US" w:eastAsia="zh-CN" w:bidi="ar"/>
        </w:rPr>
      </w:pPr>
      <w:r>
        <w:rPr>
          <w:rFonts w:hint="eastAsia" w:ascii="等线" w:hAnsi="等线" w:eastAsia="等线" w:cs="等线"/>
          <w:color w:val="000000"/>
          <w:kern w:val="0"/>
          <w:sz w:val="36"/>
          <w:szCs w:val="36"/>
          <w:lang w:val="en-US" w:eastAsia="zh-CN" w:bidi="ar"/>
        </w:rPr>
        <w:t xml:space="preserve">业  丹   任春艳   杨永忠  </w:t>
      </w:r>
    </w:p>
    <w:p>
      <w:pPr>
        <w:pStyle w:val="2"/>
        <w:keepNext w:val="0"/>
        <w:keepLines w:val="0"/>
        <w:pageBreakBefore w:val="0"/>
        <w:kinsoku/>
        <w:wordWrap/>
        <w:overflowPunct/>
        <w:topLinePunct w:val="0"/>
        <w:autoSpaceDE/>
        <w:autoSpaceDN/>
        <w:bidi w:val="0"/>
        <w:adjustRightInd/>
        <w:snapToGrid/>
        <w:spacing w:line="720" w:lineRule="auto"/>
        <w:ind w:firstLine="2160" w:firstLineChars="600"/>
        <w:textAlignment w:val="auto"/>
        <w:rPr>
          <w:rFonts w:hint="default"/>
          <w:lang w:val="en-US"/>
        </w:rPr>
      </w:pPr>
      <w:r>
        <w:rPr>
          <w:rFonts w:hint="eastAsia" w:ascii="等线" w:hAnsi="等线" w:eastAsia="等线" w:cs="等线"/>
          <w:color w:val="000000"/>
          <w:kern w:val="0"/>
          <w:sz w:val="36"/>
          <w:szCs w:val="36"/>
          <w:lang w:val="en-US" w:eastAsia="zh-CN" w:bidi="ar"/>
        </w:rPr>
        <w:t>向  雯</w:t>
      </w: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p>
    <w:p>
      <w:pPr>
        <w:jc w:val="both"/>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drawing>
          <wp:inline distT="0" distB="0" distL="114300" distR="114300">
            <wp:extent cx="1295400" cy="626745"/>
            <wp:effectExtent l="0" t="0" r="0" b="1905"/>
            <wp:docPr id="35" name="图片 35" descr="167037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0376305(1)"/>
                    <pic:cNvPicPr>
                      <a:picLocks noChangeAspect="1"/>
                    </pic:cNvPicPr>
                  </pic:nvPicPr>
                  <pic:blipFill>
                    <a:blip r:embed="rId9"/>
                    <a:stretch>
                      <a:fillRect/>
                    </a:stretch>
                  </pic:blipFill>
                  <pic:spPr>
                    <a:xfrm>
                      <a:off x="0" y="0"/>
                      <a:ext cx="1295400" cy="626745"/>
                    </a:xfrm>
                    <a:prstGeom prst="rect">
                      <a:avLst/>
                    </a:prstGeom>
                  </pic:spPr>
                </pic:pic>
              </a:graphicData>
            </a:graphic>
          </wp:inline>
        </w:drawing>
      </w:r>
    </w:p>
    <w:p>
      <w:pPr>
        <w:rPr>
          <w:rFonts w:hint="eastAsia" w:ascii="仿宋_GB2312" w:hAnsi="仿宋_GB2312" w:eastAsia="仿宋_GB2312" w:cs="仿宋_GB2312"/>
          <w:sz w:val="32"/>
          <w:szCs w:val="32"/>
          <w:lang w:val="en-US" w:eastAsia="zh-CN"/>
        </w:rPr>
      </w:pPr>
    </w:p>
    <w:p>
      <w:pPr>
        <w:pStyle w:val="2"/>
        <w:rPr>
          <w:rFonts w:hint="eastAsia"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 xml:space="preserve">前言 </w:t>
      </w:r>
    </w:p>
    <w:p>
      <w:pPr>
        <w:pStyle w:val="17"/>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一、研究范围及对象 01</w:t>
      </w:r>
    </w:p>
    <w:p>
      <w:pPr>
        <w:pStyle w:val="17"/>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二、研究方法 01</w:t>
      </w:r>
    </w:p>
    <w:p>
      <w:pPr>
        <w:pStyle w:val="17"/>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三、数据来源 02</w:t>
      </w:r>
    </w:p>
    <w:p>
      <w:pPr>
        <w:rPr>
          <w:rFonts w:hint="default"/>
          <w:lang w:val="en-US" w:eastAsia="zh-CN"/>
        </w:rPr>
      </w:pPr>
      <w:r>
        <w:rPr>
          <w:rFonts w:hint="eastAsia" w:ascii="仿宋_GB2312" w:hAnsi="仿宋_GB2312" w:eastAsia="仿宋_GB2312" w:cs="仿宋_GB2312"/>
          <w:sz w:val="28"/>
          <w:szCs w:val="28"/>
          <w:lang w:val="en-US" w:eastAsia="zh-CN"/>
        </w:rPr>
        <w:t>四、市场总体数据测算  03</w:t>
      </w:r>
    </w:p>
    <w:p>
      <w:pPr>
        <w:pStyle w:val="2"/>
        <w:rPr>
          <w:rFonts w:hint="default"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 xml:space="preserve"> </w:t>
      </w:r>
    </w:p>
    <w:p>
      <w:pPr>
        <w:rPr>
          <w:rFonts w:hint="eastAsia" w:ascii="黑体" w:hAnsi="黑体" w:eastAsia="黑体" w:cs="黑体"/>
          <w:color w:val="0A358B"/>
          <w:sz w:val="28"/>
          <w:szCs w:val="28"/>
          <w:lang w:val="en-US" w:eastAsia="zh-CN"/>
        </w:rPr>
      </w:pPr>
      <w:r>
        <w:rPr>
          <w:rFonts w:hint="eastAsia" w:ascii="黑体" w:hAnsi="黑体" w:eastAsia="黑体" w:cs="黑体"/>
          <w:color w:val="0A358B"/>
          <w:sz w:val="28"/>
          <w:szCs w:val="28"/>
          <w:lang w:val="en-US" w:eastAsia="zh-CN"/>
        </w:rPr>
        <w:t>第一章  项目背景与概述</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一、政策背景  05</w:t>
      </w:r>
    </w:p>
    <w:p>
      <w:pPr>
        <w:pStyle w:val="17"/>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二、2021年四川省演出市场总体数据  06</w:t>
      </w:r>
    </w:p>
    <w:p>
      <w:pPr>
        <w:pStyle w:val="17"/>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三、2021年四川省演出市场主要特点  09</w:t>
      </w:r>
    </w:p>
    <w:p>
      <w:pPr>
        <w:pStyle w:val="17"/>
        <w:rPr>
          <w:rFonts w:hint="eastAsia" w:ascii="仿宋_GB2312" w:hAnsi="仿宋_GB2312" w:eastAsia="仿宋_GB2312" w:cs="仿宋_GB2312"/>
          <w:sz w:val="28"/>
          <w:szCs w:val="28"/>
          <w:lang w:val="en-US" w:eastAsia="zh-CN"/>
        </w:rPr>
      </w:pPr>
    </w:p>
    <w:p>
      <w:pPr>
        <w:pStyle w:val="17"/>
        <w:rPr>
          <w:rFonts w:hint="eastAsia" w:ascii="黑体" w:hAnsi="黑体" w:eastAsia="黑体" w:cs="黑体"/>
          <w:color w:val="0A358B"/>
          <w:sz w:val="28"/>
          <w:szCs w:val="28"/>
          <w:lang w:val="en-US" w:eastAsia="zh-CN"/>
        </w:rPr>
      </w:pPr>
      <w:r>
        <w:rPr>
          <w:rFonts w:hint="eastAsia" w:ascii="黑体" w:hAnsi="黑体" w:eastAsia="黑体" w:cs="黑体"/>
          <w:color w:val="0A358B"/>
          <w:sz w:val="28"/>
          <w:szCs w:val="28"/>
          <w:lang w:val="en-US" w:eastAsia="zh-CN"/>
        </w:rPr>
        <w:t>第二章  四川省演出场所状况分析</w:t>
      </w:r>
    </w:p>
    <w:p>
      <w:pPr>
        <w:pStyle w:val="17"/>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8"/>
          <w:szCs w:val="28"/>
          <w:lang w:val="en-US" w:eastAsia="zh-CN"/>
        </w:rPr>
        <w:t>一、四川省演出场所基本情况  15</w:t>
      </w:r>
    </w:p>
    <w:p>
      <w:pPr>
        <w:pStyle w:val="17"/>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二、四川省典型演出场所案例  21</w:t>
      </w:r>
    </w:p>
    <w:p>
      <w:pPr>
        <w:pStyle w:val="17"/>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三、四川省演出场所发展面临的问题  25</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四、四川省演出场所的发展趋势  29</w:t>
      </w:r>
    </w:p>
    <w:p>
      <w:pPr>
        <w:rPr>
          <w:rFonts w:hint="eastAsia" w:ascii="仿宋_GB2312" w:hAnsi="仿宋_GB2312" w:eastAsia="仿宋_GB2312" w:cs="仿宋_GB2312"/>
          <w:sz w:val="28"/>
          <w:szCs w:val="28"/>
          <w:lang w:val="en-US" w:eastAsia="zh-CN"/>
        </w:rPr>
      </w:pPr>
    </w:p>
    <w:p>
      <w:pPr>
        <w:rPr>
          <w:rFonts w:hint="default"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第三章  四川省演出经纪机构状况分析</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一、四川省演出经纪机构基本情况  35</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二、四川省演出经纪机构经营状况  38</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三、四川省演出经纪机构发展面临的问题  47</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四、四川省演出经纪机构的发展趋势  48</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五、四川省演出经纪机构发展的需求和建议  49</w:t>
      </w:r>
    </w:p>
    <w:p>
      <w:pPr>
        <w:pStyle w:val="2"/>
        <w:rPr>
          <w:rFonts w:hint="default"/>
          <w:lang w:val="en-US" w:eastAsia="zh-CN"/>
        </w:rPr>
      </w:pPr>
    </w:p>
    <w:p>
      <w:pPr>
        <w:rPr>
          <w:rFonts w:hint="default"/>
          <w:lang w:val="en-US" w:eastAsia="zh-CN"/>
        </w:rPr>
      </w:pPr>
    </w:p>
    <w:p>
      <w:pPr>
        <w:rPr>
          <w:rFonts w:hint="eastAsia"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第四章  四川省演出票务公司状况分析</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一、四川省演出票务公司基本情况  53</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二、四川省主要票务公司  58</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三、四川省演出票务公司面临的问题  59 </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四、四川省演出票务公司的发展趋势  61</w:t>
      </w:r>
    </w:p>
    <w:p>
      <w:pPr>
        <w:rPr>
          <w:rFonts w:hint="eastAsia" w:ascii="仿宋_GB2312" w:hAnsi="仿宋_GB2312" w:eastAsia="仿宋_GB2312" w:cs="仿宋_GB2312"/>
          <w:sz w:val="28"/>
          <w:szCs w:val="28"/>
          <w:lang w:val="en-US" w:eastAsia="zh-CN"/>
        </w:rPr>
      </w:pPr>
    </w:p>
    <w:p>
      <w:pPr>
        <w:rPr>
          <w:rFonts w:hint="eastAsia"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第五章  四川省文艺表演团体状况分析</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一、四川省文艺表演团体的基本情况  65</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二、四川省文艺表演团体的运营状况  70</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三、四川省文艺表演团体的发展趋势  76</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四、四川省文艺表演团体面临的问题  79</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五、四川省文艺表演团体的需求和建议  84</w:t>
      </w:r>
    </w:p>
    <w:p>
      <w:pPr>
        <w:rPr>
          <w:rFonts w:hint="eastAsia" w:ascii="仿宋_GB2312" w:hAnsi="仿宋_GB2312" w:eastAsia="仿宋_GB2312" w:cs="仿宋_GB2312"/>
          <w:sz w:val="28"/>
          <w:szCs w:val="28"/>
          <w:lang w:val="en-US" w:eastAsia="zh-CN"/>
        </w:rPr>
      </w:pPr>
    </w:p>
    <w:p>
      <w:pPr>
        <w:rPr>
          <w:rFonts w:hint="eastAsia"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第六章  2021年四川省演出活动分析</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一、四川省演出活动总体情况  89 </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二、四川省各种类型演出活动情况  93</w:t>
      </w:r>
    </w:p>
    <w:p>
      <w:pPr>
        <w:rPr>
          <w:rFonts w:hint="eastAsia" w:ascii="方正小标宋简体" w:hAnsi="方正小标宋简体" w:eastAsia="方正小标宋简体" w:cs="方正小标宋简体"/>
          <w:sz w:val="28"/>
          <w:szCs w:val="28"/>
          <w:lang w:val="en-US" w:eastAsia="zh-CN"/>
        </w:rPr>
      </w:pPr>
      <w:r>
        <w:rPr>
          <w:rFonts w:hint="eastAsia" w:ascii="仿宋_GB2312" w:hAnsi="仿宋_GB2312" w:eastAsia="仿宋_GB2312" w:cs="仿宋_GB2312"/>
          <w:sz w:val="28"/>
          <w:szCs w:val="28"/>
          <w:lang w:val="en-US" w:eastAsia="zh-CN"/>
        </w:rPr>
        <w:t xml:space="preserve">三、四川省演出市场活动呈现的特点与发展趋势  95  </w:t>
      </w:r>
    </w:p>
    <w:p>
      <w:pPr>
        <w:rPr>
          <w:rFonts w:hint="eastAsia"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第七章  2021年四川省旅游演艺状况分析</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一、四川省旅游演艺项目基本情况  99</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二、四川省旅游演艺市场概述  102</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三、四川省旅游演艺案例  107</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四、四川省旅游演艺面临的问题  116  </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五、四川省旅游演艺的发展趋势  118</w:t>
      </w:r>
    </w:p>
    <w:p>
      <w:pPr>
        <w:rPr>
          <w:rFonts w:hint="eastAsia" w:ascii="仿宋_GB2312" w:hAnsi="仿宋_GB2312" w:eastAsia="仿宋_GB2312" w:cs="仿宋_GB2312"/>
          <w:sz w:val="28"/>
          <w:szCs w:val="28"/>
          <w:lang w:val="en-US" w:eastAsia="zh-CN"/>
        </w:rPr>
      </w:pPr>
    </w:p>
    <w:p>
      <w:pPr>
        <w:rPr>
          <w:rFonts w:hint="eastAsia"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第八章  四川省演出观众消费行为分析</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一、四川省演出观众消费行为概述  127</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二、四川省演出观众构成  128</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三、四川省演出观众消费行为与习惯  132</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四、四川省演出观众消费需求  139</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五、四川省不同类型演出的观众特征分析  145</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六、四川省演出观众对演出市场的评价  155</w:t>
      </w:r>
    </w:p>
    <w:p>
      <w:pPr>
        <w:rPr>
          <w:rFonts w:hint="eastAsia" w:ascii="仿宋_GB2312" w:hAnsi="仿宋_GB2312" w:eastAsia="仿宋_GB2312" w:cs="仿宋_GB2312"/>
          <w:sz w:val="28"/>
          <w:szCs w:val="28"/>
          <w:lang w:val="en-US" w:eastAsia="zh-CN"/>
        </w:rPr>
      </w:pPr>
    </w:p>
    <w:p>
      <w:pPr>
        <w:rPr>
          <w:rFonts w:hint="eastAsia"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第九章  四川省演出新业态状况与前景分析</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一、四川省演出新业态基本情况  159</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二、四川省演出新业态项目案例  160</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三、演出新业态国内其他案例  164</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四、四川省演出新业态的发展趋势  166</w:t>
      </w:r>
    </w:p>
    <w:p>
      <w:pPr>
        <w:rPr>
          <w:rFonts w:hint="eastAsia" w:ascii="仿宋_GB2312" w:hAnsi="仿宋_GB2312" w:eastAsia="仿宋_GB2312" w:cs="仿宋_GB2312"/>
          <w:sz w:val="28"/>
          <w:szCs w:val="28"/>
          <w:lang w:val="en-US" w:eastAsia="zh-CN"/>
        </w:rPr>
      </w:pPr>
    </w:p>
    <w:p>
      <w:pPr>
        <w:rPr>
          <w:rFonts w:hint="eastAsia" w:ascii="黑体" w:hAnsi="黑体" w:eastAsia="黑体" w:cs="黑体"/>
          <w:color w:val="0A358B"/>
          <w:kern w:val="2"/>
          <w:sz w:val="28"/>
          <w:szCs w:val="28"/>
          <w:lang w:val="en-US" w:eastAsia="zh-CN" w:bidi="ar-SA"/>
        </w:rPr>
      </w:pPr>
      <w:r>
        <w:rPr>
          <w:rFonts w:hint="eastAsia" w:ascii="黑体" w:hAnsi="黑体" w:eastAsia="黑体" w:cs="黑体"/>
          <w:color w:val="0A358B"/>
          <w:kern w:val="2"/>
          <w:sz w:val="28"/>
          <w:szCs w:val="28"/>
          <w:lang w:val="en-US" w:eastAsia="zh-CN" w:bidi="ar-SA"/>
        </w:rPr>
        <w:t>第十章  四川省演出市场的主要问题与发展对策</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一、主要问题  171</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二、发展对策  175</w:t>
      </w:r>
    </w:p>
    <w:p>
      <w:pPr>
        <w:rPr>
          <w:rFonts w:hint="eastAsia" w:ascii="仿宋_GB2312" w:hAnsi="仿宋_GB2312" w:eastAsia="仿宋_GB2312" w:cs="仿宋_GB2312"/>
          <w:sz w:val="28"/>
          <w:szCs w:val="28"/>
          <w:lang w:val="en-US" w:eastAsia="zh-CN"/>
        </w:rPr>
      </w:pPr>
    </w:p>
    <w:p>
      <w:pPr>
        <w:rPr>
          <w:rFonts w:hint="default" w:ascii="仿宋_GB2312" w:hAnsi="仿宋_GB2312" w:eastAsia="仿宋_GB2312" w:cs="仿宋_GB2312"/>
          <w:sz w:val="28"/>
          <w:szCs w:val="28"/>
          <w:lang w:val="en-US" w:eastAsia="zh-CN"/>
        </w:rPr>
      </w:pPr>
      <w:r>
        <w:rPr>
          <w:rFonts w:hint="eastAsia" w:ascii="黑体" w:hAnsi="黑体" w:eastAsia="黑体" w:cs="黑体"/>
          <w:color w:val="0A358B"/>
          <w:kern w:val="2"/>
          <w:sz w:val="28"/>
          <w:szCs w:val="28"/>
          <w:lang w:val="en-US" w:eastAsia="zh-CN" w:bidi="ar-SA"/>
        </w:rPr>
        <w:t>附录：2021年四川省演出市场大事记  181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sectPr>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前言</w:t>
      </w:r>
    </w:p>
    <w:p>
      <w:pPr>
        <w:pStyle w:val="2"/>
        <w:rPr>
          <w:rFonts w:hint="eastAsia"/>
          <w:lang w:val="en-US" w:eastAsia="zh-CN"/>
        </w:rPr>
      </w:pPr>
    </w:p>
    <w:p>
      <w:pPr>
        <w:numPr>
          <w:ilvl w:val="0"/>
          <w:numId w:val="1"/>
        </w:numPr>
        <w:spacing w:before="156" w:beforeLines="50" w:after="156" w:afterLines="50" w:line="360" w:lineRule="auto"/>
        <w:ind w:right="105" w:rightChars="50"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研究范围及对象</w:t>
      </w:r>
    </w:p>
    <w:p>
      <w:pPr>
        <w:pStyle w:val="2"/>
        <w:numPr>
          <w:ilvl w:val="0"/>
          <w:numId w:val="0"/>
        </w:numPr>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深入贯彻实施《“十四五”文化和旅游发展规划》，摸清全省演出市场发展状况，洞察行业未来趋势，制定科学合理的政策与发展规划，推动我省演出市场高质量发展，助力文化强省旅游强省建设，特开展本次课题调研。此次调研涉及全省21个市州，重点调研了成都及绵阳、南充、广元、泸州、宜宾等演出市场较为繁荣的市州。针对四川省演出市场，对1万多场演出活动进行了定点监测和市场数据分析；深入调研了全省演出场所、演出经纪机构、票务公司、旅游演艺公司、文艺表演团体与新业态演出公司的发展状况、真实困难和需求，走访调研演出企业256家；研究分析了观众参与程度、需求层次、满足状况和存在问题等，开展消费者问卷调查936人次。</w:t>
      </w:r>
    </w:p>
    <w:p>
      <w:pPr>
        <w:spacing w:before="156" w:beforeLines="50" w:after="156" w:afterLines="50" w:line="360" w:lineRule="auto"/>
        <w:ind w:right="105" w:rightChars="50"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二、研究方法</w:t>
      </w:r>
    </w:p>
    <w:p>
      <w:pPr>
        <w:spacing w:before="156" w:beforeLines="50" w:after="156" w:afterLines="50" w:line="360" w:lineRule="auto"/>
        <w:ind w:right="105" w:rightChars="5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针对本课题要研究的内容，采取定量研究与定性研究相结合的研究方法。定量研究方法主要包括统计数据、问卷调研；定性研究方法主要包括专家访谈、深度访谈与文献调研。</w:t>
      </w:r>
      <w:r>
        <w:rPr>
          <w:rFonts w:hint="eastAsia" w:ascii="仿宋_GB2312" w:hAnsi="仿宋_GB2312" w:eastAsia="仿宋_GB2312" w:cs="仿宋_GB2312"/>
          <w:sz w:val="32"/>
          <w:szCs w:val="32"/>
          <w:lang w:val="en-US" w:eastAsia="zh-CN"/>
        </w:rPr>
        <w:t>主要参考了《2021中国演出市场年度报告》《中国演出剧场案例研究汇编》《中国文化旅游发展报告2021》《中国沉浸式剧本娱乐行业研究报告》等文献。</w:t>
      </w:r>
      <w:r>
        <w:rPr>
          <w:rFonts w:hint="eastAsia" w:ascii="仿宋_GB2312" w:hAnsi="仿宋_GB2312" w:eastAsia="仿宋_GB2312" w:cs="仿宋_GB2312"/>
          <w:sz w:val="32"/>
          <w:szCs w:val="32"/>
        </w:rPr>
        <w:t>在调研过程中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获得了</w:t>
      </w:r>
      <w:r>
        <w:rPr>
          <w:rFonts w:hint="eastAsia" w:ascii="仿宋_GB2312" w:hAnsi="仿宋_GB2312" w:eastAsia="仿宋_GB2312" w:cs="仿宋_GB2312"/>
          <w:sz w:val="32"/>
          <w:szCs w:val="32"/>
          <w:lang w:val="en-US" w:eastAsia="zh-CN"/>
        </w:rPr>
        <w:t>中国</w:t>
      </w:r>
      <w:r>
        <w:rPr>
          <w:rFonts w:hint="eastAsia" w:ascii="仿宋_GB2312" w:hAnsi="仿宋_GB2312" w:eastAsia="仿宋_GB2312" w:cs="仿宋_GB2312"/>
          <w:sz w:val="32"/>
          <w:szCs w:val="32"/>
        </w:rPr>
        <w:t>演出行业协会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四川省文化和旅厅</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val="en-US" w:eastAsia="zh-CN"/>
        </w:rPr>
        <w:t>支持与帮助</w:t>
      </w:r>
      <w:r>
        <w:rPr>
          <w:rFonts w:hint="eastAsia" w:ascii="仿宋_GB2312" w:hAnsi="仿宋_GB2312" w:eastAsia="仿宋_GB2312" w:cs="仿宋_GB2312"/>
          <w:sz w:val="32"/>
          <w:szCs w:val="32"/>
        </w:rPr>
        <w:t>。</w:t>
      </w:r>
    </w:p>
    <w:p>
      <w:pPr>
        <w:spacing w:before="156" w:beforeLines="50" w:after="156" w:afterLines="50" w:line="360" w:lineRule="auto"/>
        <w:ind w:right="105" w:rightChars="5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调查问卷分为两种类型，一种是针对场馆内观看演出的消费者，共回收</w:t>
      </w:r>
      <w:r>
        <w:rPr>
          <w:rFonts w:hint="eastAsia" w:ascii="仿宋_GB2312" w:hAnsi="仿宋_GB2312" w:eastAsia="仿宋_GB2312" w:cs="仿宋_GB2312"/>
          <w:sz w:val="32"/>
          <w:szCs w:val="32"/>
          <w:lang w:val="en-US" w:eastAsia="zh-CN"/>
        </w:rPr>
        <w:t>526</w:t>
      </w:r>
      <w:r>
        <w:rPr>
          <w:rFonts w:hint="eastAsia" w:ascii="仿宋_GB2312" w:hAnsi="仿宋_GB2312" w:eastAsia="仿宋_GB2312" w:cs="仿宋_GB2312"/>
          <w:sz w:val="32"/>
          <w:szCs w:val="32"/>
        </w:rPr>
        <w:t>份有效样本；另一种是针对非演出场所的消费者，包括</w:t>
      </w:r>
      <w:r>
        <w:rPr>
          <w:rFonts w:hint="eastAsia" w:ascii="仿宋_GB2312" w:hAnsi="仿宋_GB2312" w:eastAsia="仿宋_GB2312" w:cs="仿宋_GB2312"/>
          <w:sz w:val="32"/>
          <w:szCs w:val="32"/>
          <w:lang w:val="en-US" w:eastAsia="zh-CN"/>
        </w:rPr>
        <w:t>省内</w:t>
      </w:r>
      <w:r>
        <w:rPr>
          <w:rFonts w:hint="eastAsia" w:ascii="仿宋_GB2312" w:hAnsi="仿宋_GB2312" w:eastAsia="仿宋_GB2312" w:cs="仿宋_GB2312"/>
          <w:sz w:val="32"/>
          <w:szCs w:val="32"/>
        </w:rPr>
        <w:t>市民和游客，共回收</w:t>
      </w:r>
      <w:r>
        <w:rPr>
          <w:rFonts w:hint="eastAsia" w:ascii="仿宋_GB2312" w:hAnsi="仿宋_GB2312" w:eastAsia="仿宋_GB2312" w:cs="仿宋_GB2312"/>
          <w:sz w:val="32"/>
          <w:szCs w:val="32"/>
          <w:lang w:val="en-US" w:eastAsia="zh-CN"/>
        </w:rPr>
        <w:t>410</w:t>
      </w:r>
      <w:r>
        <w:rPr>
          <w:rFonts w:hint="eastAsia" w:ascii="仿宋_GB2312" w:hAnsi="仿宋_GB2312" w:eastAsia="仿宋_GB2312" w:cs="仿宋_GB2312"/>
          <w:sz w:val="32"/>
          <w:szCs w:val="32"/>
        </w:rPr>
        <w:t>份有效样本。</w:t>
      </w:r>
    </w:p>
    <w:p>
      <w:pPr>
        <w:spacing w:before="156" w:beforeLines="50" w:after="156" w:afterLines="50" w:line="360" w:lineRule="auto"/>
        <w:ind w:right="105" w:rightChars="5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深度访谈</w:t>
      </w:r>
      <w:r>
        <w:rPr>
          <w:rFonts w:hint="eastAsia" w:ascii="仿宋_GB2312" w:hAnsi="仿宋_GB2312" w:eastAsia="仿宋_GB2312" w:cs="仿宋_GB2312"/>
          <w:sz w:val="32"/>
          <w:szCs w:val="32"/>
          <w:lang w:val="en-US" w:eastAsia="zh-CN"/>
        </w:rPr>
        <w:t>296</w:t>
      </w:r>
      <w:r>
        <w:rPr>
          <w:rFonts w:hint="eastAsia" w:ascii="仿宋_GB2312" w:hAnsi="仿宋_GB2312" w:eastAsia="仿宋_GB2312" w:cs="仿宋_GB2312"/>
          <w:sz w:val="32"/>
          <w:szCs w:val="32"/>
        </w:rPr>
        <w:t>家单位或个人，具体样本分布如下表：</w:t>
      </w:r>
    </w:p>
    <w:p>
      <w:pPr>
        <w:pStyle w:val="18"/>
        <w:spacing w:after="156" w:afterLines="50"/>
        <w:ind w:left="419" w:hanging="62"/>
        <w:jc w:val="center"/>
        <w:rPr>
          <w:rStyle w:val="19"/>
          <w:rFonts w:hint="eastAsia" w:asciiTheme="minorEastAsia" w:hAnsiTheme="minorEastAsia" w:eastAsiaTheme="minorEastAsia" w:cstheme="minorEastAsia"/>
        </w:rPr>
      </w:pPr>
      <w:r>
        <w:rPr>
          <w:rStyle w:val="19"/>
          <w:rFonts w:hint="eastAsia" w:asciiTheme="minorEastAsia" w:hAnsiTheme="minorEastAsia" w:eastAsiaTheme="minorEastAsia" w:cstheme="minorEastAsia"/>
          <w:lang w:val="en-US" w:eastAsia="zh-CN"/>
        </w:rPr>
        <w:t>图</w:t>
      </w:r>
      <w:r>
        <w:rPr>
          <w:rStyle w:val="19"/>
          <w:rFonts w:hint="eastAsia" w:asciiTheme="minorEastAsia" w:hAnsiTheme="minorEastAsia" w:eastAsiaTheme="minorEastAsia" w:cstheme="minorEastAsia"/>
        </w:rPr>
        <w:t>表1-</w:t>
      </w:r>
      <w:r>
        <w:rPr>
          <w:rStyle w:val="19"/>
          <w:rFonts w:hint="eastAsia" w:asciiTheme="minorEastAsia" w:hAnsiTheme="minorEastAsia" w:eastAsiaTheme="minorEastAsia" w:cstheme="minorEastAsia"/>
          <w:lang w:val="en-US" w:eastAsia="zh-CN"/>
        </w:rPr>
        <w:t>1</w:t>
      </w:r>
      <w:r>
        <w:rPr>
          <w:rStyle w:val="19"/>
          <w:rFonts w:hint="eastAsia" w:asciiTheme="minorEastAsia" w:hAnsiTheme="minorEastAsia" w:eastAsiaTheme="minorEastAsia" w:cstheme="minorEastAsia"/>
        </w:rPr>
        <w:t xml:space="preserve"> 调研样本情况</w:t>
      </w:r>
    </w:p>
    <w:tbl>
      <w:tblPr>
        <w:tblStyle w:val="13"/>
        <w:tblW w:w="8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1620"/>
        <w:gridCol w:w="1470"/>
        <w:gridCol w:w="1695"/>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846" w:type="dxa"/>
            <w:shd w:val="clear" w:color="auto" w:fill="E0E0E0"/>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b/>
                <w:kern w:val="0"/>
                <w:sz w:val="18"/>
                <w:szCs w:val="18"/>
              </w:rPr>
              <w:t>调研对象</w:t>
            </w:r>
          </w:p>
        </w:tc>
        <w:tc>
          <w:tcPr>
            <w:tcW w:w="1620" w:type="dxa"/>
            <w:shd w:val="clear" w:color="auto" w:fill="E0E0E0"/>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b/>
                <w:kern w:val="0"/>
                <w:sz w:val="18"/>
                <w:szCs w:val="18"/>
              </w:rPr>
              <w:t>问卷调研（人）</w:t>
            </w:r>
          </w:p>
        </w:tc>
        <w:tc>
          <w:tcPr>
            <w:tcW w:w="1470" w:type="dxa"/>
            <w:shd w:val="clear" w:color="auto" w:fill="E0E0E0"/>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b/>
                <w:kern w:val="0"/>
                <w:sz w:val="18"/>
                <w:szCs w:val="18"/>
              </w:rPr>
              <w:t>统计数据</w:t>
            </w:r>
          </w:p>
        </w:tc>
        <w:tc>
          <w:tcPr>
            <w:tcW w:w="1695" w:type="dxa"/>
            <w:shd w:val="clear" w:color="auto" w:fill="E0E0E0"/>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b/>
                <w:kern w:val="0"/>
                <w:sz w:val="18"/>
                <w:szCs w:val="18"/>
              </w:rPr>
              <w:t>深度访谈（家/人）</w:t>
            </w:r>
          </w:p>
        </w:tc>
        <w:tc>
          <w:tcPr>
            <w:tcW w:w="1465" w:type="dxa"/>
            <w:shd w:val="clear" w:color="auto" w:fill="E0E0E0"/>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b/>
                <w:kern w:val="0"/>
                <w:sz w:val="18"/>
                <w:szCs w:val="18"/>
              </w:rPr>
              <w:t>文献调研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46"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文艺表演团体</w:t>
            </w:r>
          </w:p>
        </w:tc>
        <w:tc>
          <w:tcPr>
            <w:tcW w:w="162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47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69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61</w:t>
            </w:r>
            <w:r>
              <w:rPr>
                <w:rFonts w:hint="eastAsia" w:asciiTheme="minorEastAsia" w:hAnsiTheme="minorEastAsia" w:eastAsiaTheme="minorEastAsia" w:cstheme="minorEastAsia"/>
                <w:kern w:val="0"/>
                <w:sz w:val="18"/>
                <w:szCs w:val="18"/>
              </w:rPr>
              <w:t>家</w:t>
            </w:r>
          </w:p>
        </w:tc>
        <w:tc>
          <w:tcPr>
            <w:tcW w:w="146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46"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演出经纪机构</w:t>
            </w:r>
          </w:p>
        </w:tc>
        <w:tc>
          <w:tcPr>
            <w:tcW w:w="162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47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69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66</w:t>
            </w:r>
            <w:r>
              <w:rPr>
                <w:rFonts w:hint="eastAsia" w:asciiTheme="minorEastAsia" w:hAnsiTheme="minorEastAsia" w:eastAsiaTheme="minorEastAsia" w:cstheme="minorEastAsia"/>
                <w:kern w:val="0"/>
                <w:sz w:val="18"/>
                <w:szCs w:val="18"/>
              </w:rPr>
              <w:t>家</w:t>
            </w:r>
          </w:p>
        </w:tc>
        <w:tc>
          <w:tcPr>
            <w:tcW w:w="146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46"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票务公司</w:t>
            </w:r>
          </w:p>
        </w:tc>
        <w:tc>
          <w:tcPr>
            <w:tcW w:w="162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47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69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家</w:t>
            </w:r>
          </w:p>
        </w:tc>
        <w:tc>
          <w:tcPr>
            <w:tcW w:w="146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46"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演出场所</w:t>
            </w:r>
          </w:p>
        </w:tc>
        <w:tc>
          <w:tcPr>
            <w:tcW w:w="162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47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69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66</w:t>
            </w:r>
            <w:r>
              <w:rPr>
                <w:rFonts w:hint="eastAsia" w:asciiTheme="minorEastAsia" w:hAnsiTheme="minorEastAsia" w:eastAsiaTheme="minorEastAsia" w:cstheme="minorEastAsia"/>
                <w:kern w:val="0"/>
                <w:sz w:val="18"/>
                <w:szCs w:val="18"/>
              </w:rPr>
              <w:t>家</w:t>
            </w:r>
          </w:p>
        </w:tc>
        <w:tc>
          <w:tcPr>
            <w:tcW w:w="146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46" w:type="dxa"/>
            <w:noWrap w:val="0"/>
            <w:vAlign w:val="center"/>
          </w:tcPr>
          <w:p>
            <w:pPr>
              <w:autoSpaceDE w:val="0"/>
              <w:autoSpaceDN w:val="0"/>
              <w:adjustRightInd w:val="0"/>
              <w:spacing w:line="0" w:lineRule="atLeast"/>
              <w:jc w:val="center"/>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旅游演艺企业</w:t>
            </w:r>
          </w:p>
        </w:tc>
        <w:tc>
          <w:tcPr>
            <w:tcW w:w="162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47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695" w:type="dxa"/>
            <w:noWrap w:val="0"/>
            <w:vAlign w:val="center"/>
          </w:tcPr>
          <w:p>
            <w:pPr>
              <w:autoSpaceDE w:val="0"/>
              <w:autoSpaceDN w:val="0"/>
              <w:adjustRightInd w:val="0"/>
              <w:spacing w:line="0" w:lineRule="atLeast"/>
              <w:jc w:val="center"/>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40家</w:t>
            </w:r>
          </w:p>
        </w:tc>
        <w:tc>
          <w:tcPr>
            <w:tcW w:w="146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46" w:type="dxa"/>
            <w:noWrap w:val="0"/>
            <w:vAlign w:val="center"/>
          </w:tcPr>
          <w:p>
            <w:pPr>
              <w:autoSpaceDE w:val="0"/>
              <w:autoSpaceDN w:val="0"/>
              <w:adjustRightInd w:val="0"/>
              <w:spacing w:line="0" w:lineRule="atLeast"/>
              <w:jc w:val="center"/>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新业态演出公司</w:t>
            </w:r>
          </w:p>
        </w:tc>
        <w:tc>
          <w:tcPr>
            <w:tcW w:w="162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47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695" w:type="dxa"/>
            <w:noWrap w:val="0"/>
            <w:vAlign w:val="center"/>
          </w:tcPr>
          <w:p>
            <w:pPr>
              <w:autoSpaceDE w:val="0"/>
              <w:autoSpaceDN w:val="0"/>
              <w:adjustRightInd w:val="0"/>
              <w:spacing w:line="0" w:lineRule="atLeast"/>
              <w:jc w:val="center"/>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20家</w:t>
            </w:r>
          </w:p>
        </w:tc>
        <w:tc>
          <w:tcPr>
            <w:tcW w:w="146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46"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消费者</w:t>
            </w:r>
          </w:p>
        </w:tc>
        <w:tc>
          <w:tcPr>
            <w:tcW w:w="162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936</w:t>
            </w:r>
          </w:p>
        </w:tc>
        <w:tc>
          <w:tcPr>
            <w:tcW w:w="147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69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30</w:t>
            </w:r>
            <w:r>
              <w:rPr>
                <w:rFonts w:hint="eastAsia" w:asciiTheme="minorEastAsia" w:hAnsiTheme="minorEastAsia" w:eastAsiaTheme="minorEastAsia" w:cstheme="minorEastAsia"/>
                <w:kern w:val="0"/>
                <w:sz w:val="18"/>
                <w:szCs w:val="18"/>
              </w:rPr>
              <w:t>人</w:t>
            </w:r>
          </w:p>
        </w:tc>
        <w:tc>
          <w:tcPr>
            <w:tcW w:w="146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46"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专家</w:t>
            </w:r>
          </w:p>
        </w:tc>
        <w:tc>
          <w:tcPr>
            <w:tcW w:w="162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47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c>
          <w:tcPr>
            <w:tcW w:w="169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10人</w:t>
            </w:r>
          </w:p>
        </w:tc>
        <w:tc>
          <w:tcPr>
            <w:tcW w:w="146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46"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b/>
                <w:kern w:val="0"/>
                <w:sz w:val="18"/>
                <w:szCs w:val="18"/>
              </w:rPr>
              <w:t>总计</w:t>
            </w:r>
          </w:p>
        </w:tc>
        <w:tc>
          <w:tcPr>
            <w:tcW w:w="162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b/>
                <w:kern w:val="0"/>
                <w:sz w:val="18"/>
                <w:szCs w:val="18"/>
              </w:rPr>
              <w:t>936</w:t>
            </w:r>
          </w:p>
        </w:tc>
        <w:tc>
          <w:tcPr>
            <w:tcW w:w="1470"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kern w:val="0"/>
                <w:sz w:val="18"/>
                <w:szCs w:val="18"/>
              </w:rPr>
              <w:t>√</w:t>
            </w:r>
          </w:p>
        </w:tc>
        <w:tc>
          <w:tcPr>
            <w:tcW w:w="169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b/>
                <w:kern w:val="0"/>
                <w:sz w:val="18"/>
                <w:szCs w:val="18"/>
                <w:lang w:val="en-US" w:eastAsia="zh-CN"/>
              </w:rPr>
              <w:t>296</w:t>
            </w:r>
            <w:r>
              <w:rPr>
                <w:rFonts w:hint="eastAsia" w:asciiTheme="minorEastAsia" w:hAnsiTheme="minorEastAsia" w:eastAsiaTheme="minorEastAsia" w:cstheme="minorEastAsia"/>
                <w:b/>
                <w:kern w:val="0"/>
                <w:sz w:val="18"/>
                <w:szCs w:val="18"/>
              </w:rPr>
              <w:t>家/人</w:t>
            </w:r>
          </w:p>
        </w:tc>
        <w:tc>
          <w:tcPr>
            <w:tcW w:w="1465" w:type="dxa"/>
            <w:noWrap w:val="0"/>
            <w:vAlign w:val="center"/>
          </w:tcPr>
          <w:p>
            <w:pPr>
              <w:autoSpaceDE w:val="0"/>
              <w:autoSpaceDN w:val="0"/>
              <w:adjustRightInd w:val="0"/>
              <w:spacing w:line="0" w:lineRule="atLeast"/>
              <w:jc w:val="center"/>
              <w:rPr>
                <w:rFonts w:hint="eastAsia" w:asciiTheme="minorEastAsia" w:hAnsiTheme="minorEastAsia" w:eastAsiaTheme="minorEastAsia" w:cstheme="minorEastAsia"/>
                <w:b/>
                <w:kern w:val="0"/>
                <w:sz w:val="18"/>
                <w:szCs w:val="18"/>
              </w:rPr>
            </w:pPr>
            <w:r>
              <w:rPr>
                <w:rFonts w:hint="eastAsia" w:asciiTheme="minorEastAsia" w:hAnsiTheme="minorEastAsia" w:eastAsiaTheme="minorEastAsia" w:cstheme="minorEastAsia"/>
                <w:kern w:val="0"/>
                <w:sz w:val="18"/>
                <w:szCs w:val="18"/>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三、数据来源</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（一）演出票务信息采集与服务平台</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该平台由四川大剧院、四川省演出娱乐行业协会在文化和旅游厅市场处的指导下搭建，目前已接入的演出票务系统包括大麦、猫眼、保利票务等。</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（二）四川省文化市场技术监管与服务平台</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该平台是四川省文化和旅游厅用于全省演出市场活动审批和监管的工作平台。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（三）其他平台</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通过智游天府、美团、大众点评、飞猪等文旅服务平台企业采集旅游演艺项目数量及市场销售情况的分析样本数据。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40" w:leftChars="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（四）剧场、演出举办单位补充上报数据</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基于平台采集数据，就部分具体项目向各类演出经营主体进行调研，补充上报相关市场数据作为平台数据的核较依据。</w:t>
      </w:r>
    </w:p>
    <w:p>
      <w:pPr>
        <w:spacing w:line="360" w:lineRule="auto"/>
        <w:ind w:firstLine="640" w:firstLineChars="200"/>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四、市场总体数据测算</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根据不同演出类型特点，结合各渠道监测和采集的数据，对演出市场各类数据进行综合测算，具体情况如下： </w:t>
      </w:r>
    </w:p>
    <w:p>
      <w:pPr>
        <w:numPr>
          <w:ilvl w:val="0"/>
          <w:numId w:val="0"/>
        </w:num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（一）各主要艺术门类演出场次和票房收入</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演出场次测算：通过票务信息平台和其他数据采集渠道采集的市场数据，结合全省演出场所备案数总量、各艺术门类演出项目在票务平台占比情况、采集数据在全省市场占比情况，测算全省专业剧场、新空间及大型演出季、戏剧节、演唱会、音乐节等全年各类演出场次。</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2.票房收入测算：以票务信息平台采集的票房收入、平均票价和出票率为基础，结合各类型演出项目场次，测算专业剧场、新空间及大型演出季、戏剧节、演唱会、音乐节全年各类演出的票房收入。</w:t>
      </w:r>
    </w:p>
    <w:p>
      <w:p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（二）旅游演艺场次和收入</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通过票务信息平台和智游天府、美团、大众点评、飞猪等文旅服务平台采集的旅游演艺线上销售数据，结合对四川演出娱乐行业协会旅游演艺会员单位进行调研，测算全省旅游演艺各类型占比情况，按照不同地域（旅游季节）、不同业态、不同规模分类计算演出场次、收入数据。</w:t>
      </w:r>
    </w:p>
    <w:p>
      <w:pPr>
        <w:numPr>
          <w:ilvl w:val="0"/>
          <w:numId w:val="0"/>
        </w:numPr>
        <w:spacing w:line="360" w:lineRule="auto"/>
        <w:ind w:left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（三）娱乐演出场次和收入</w:t>
      </w:r>
    </w:p>
    <w:p>
      <w:pPr>
        <w:numPr>
          <w:ilvl w:val="0"/>
          <w:numId w:val="0"/>
        </w:num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抽样调研从事娱乐演出的饭店、酒吧、娱乐场所，采集其演出场次和收入，以及与上年相比的升降率等数据，测算全年娱乐演出场次和收入。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32"/>
          <w:szCs w:val="32"/>
          <w:highlight w:val="none"/>
        </w:rPr>
        <w:sectPr>
          <w:footerReference r:id="rId5"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第</w:t>
      </w:r>
      <w:r>
        <w:rPr>
          <w:rFonts w:hint="eastAsia" w:ascii="方正小标宋简体" w:hAnsi="方正小标宋简体" w:eastAsia="方正小标宋简体" w:cs="方正小标宋简体"/>
          <w:b w:val="0"/>
          <w:bCs w:val="0"/>
          <w:sz w:val="44"/>
          <w:szCs w:val="44"/>
          <w:highlight w:val="none"/>
          <w:lang w:val="en-US" w:eastAsia="zh-CN"/>
        </w:rPr>
        <w:t>一</w:t>
      </w:r>
      <w:r>
        <w:rPr>
          <w:rFonts w:hint="eastAsia" w:ascii="方正小标宋简体" w:hAnsi="方正小标宋简体" w:eastAsia="方正小标宋简体" w:cs="方正小标宋简体"/>
          <w:b w:val="0"/>
          <w:bCs w:val="0"/>
          <w:sz w:val="44"/>
          <w:szCs w:val="44"/>
          <w:highlight w:val="none"/>
        </w:rPr>
        <w:t>章  项目背景与概述</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一、政策背景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2021年1月19日，2021年全省文化和旅游局长会议在成都召开，会议对“十四五”时期四川文旅发展面临的形势与总体思路进行了阐释，提出“十四五”期间，四川文化旅游发展要从着力优化全省文旅发展布局，不断开拓文旅新领域、实现新发展；着力坚定文化自信，推动文化赋能，加大高质量文化供给；着力推动旅游产品结构调整，加快旅游业转型升级；着力深化文旅融合，创新推动文化旅游高质量发展；着力处理好安全和发展关系，推进文化旅游治理体系和治理能力现代化这五个方面持续发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月17日，四川省文化和旅游厅印发《关于推进全省文化场所有序恢复开放的通知》。通知明确全省剧院等演出场所接待消费者人数比例不再做统一限制；举办大型营业性演出活动，各地文化和旅游行政部门要同公安等部门加强沟通协调，根据当地疫情防控要求，适当控制人数规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月29日，文化和旅游部正式发布《“十四五”文化和旅游发展规划》，对未来5年文化和旅游发展谋篇布局，突出高质量发展的主题，着力推进文化铸魂、发挥文化赋能作用，着力推进旅游为民、发挥旅游带动作用，着力推进文旅融合、努力实现创新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为贯彻落实国家和省委、省政府相关工作部署，四川省文化和旅游厅开展了《四川省“十四五”文化发展和改革规划》《四川省“十四五”文旅融合发展规划》《巴蜀文化旅游走廊建设规划》等规划编制工作。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10月20日，四川省文化和旅游厅印发《四川省“十四五”艺术创作规划》。规划明确了重点关注现实题材、扶持革命历史题材、突出四川特色题材、抓好时政热点题材四个方面创作重点；提出了推进新时代艺术精品创作、推进巴蜀优秀艺术传承传播、加强文艺团体和场馆建设、建设高水平文艺人才队伍、构建新时代文艺评价体系五个方面主要任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12月15日，四川省文化和旅游厅印发《四川省“十四五”文化和旅游发展规划》，提出持续推动巴蜀文艺精品创作，实施四川省舞台艺术精品工程、振兴川剧和曲艺工程、少数民族艺术扶持计划、剧场建设提升工程等重点任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12月17日，2021年四川文化和旅游市场融合发展推进会在成都举办，为在疫情常态化防控形势下的演艺与旅游企业开辟新市场、寻找发展新空间创造了有利条件，为推动我省演艺和旅游产业之间实现资源共享、优势互补、合作共赢搭建了交流平台。</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二、2021年四川省演出市场总体数据</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（一）演出场次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2021年四川省演出场次1.02万场；整个西部地区演出场次2.74万场，四川演出场次占西部地区演出场次的37.23%；全国演出场次18.97万场，四川演出场次占全国演出场次的5.38%，在省、自治区、直辖市中排名第四。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2021年四川省旅游演艺场次0.35万场，占2021年全国旅游演艺场次的4.68%。</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（二）票房收入</w:t>
      </w:r>
    </w:p>
    <w:p>
      <w:pPr>
        <w:keepNext w:val="0"/>
        <w:keepLines w:val="0"/>
        <w:pageBreakBefore w:val="0"/>
        <w:widowControl w:val="0"/>
        <w:tabs>
          <w:tab w:val="left" w:pos="5460"/>
        </w:tabs>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2021年四川省演出票房收入8.18亿元；整个西部地区演出票房收入19.05亿元，四川省演出票房收入占西部地区演出票房收入的42.90%；全国演出票房收入98.07亿元，四川省演出票房收入占全国演出票房收入的8.34</w:t>
      </w:r>
      <w:bookmarkStart w:id="75" w:name="_GoBack"/>
      <w:bookmarkEnd w:id="75"/>
      <w:r>
        <w:rPr>
          <w:rFonts w:hint="eastAsia" w:ascii="仿宋_GB2312" w:hAnsi="仿宋_GB2312" w:eastAsia="仿宋_GB2312" w:cs="仿宋_GB2312"/>
          <w:b w:val="0"/>
          <w:bCs w:val="0"/>
          <w:sz w:val="32"/>
          <w:szCs w:val="32"/>
          <w:highlight w:val="none"/>
          <w:lang w:val="en-US" w:eastAsia="zh-CN"/>
        </w:rPr>
        <w:t>%，在省、自治区、直辖市中排名第六。</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2021年四川省旅游演艺票房收入3.89亿元，占2021年全国旅游演艺总收入的9.20%。</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（三）观演人次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2021年四川省演出观演人次398.96万人次；整个西部地区演出观演人次861.98万人次，四川省演出观演人次占西部地区演出观演人次的46.30%。</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2021年四川省旅游演艺观演人次169.63万人次。（因中演协没有公布全国旅游演艺观演人次统计数据，无法进行对比）</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►特别说明：</w:t>
      </w:r>
      <w:r>
        <w:rPr>
          <w:rFonts w:hint="eastAsia" w:ascii="仿宋_GB2312" w:hAnsi="仿宋_GB2312" w:eastAsia="仿宋_GB2312" w:cs="仿宋_GB2312"/>
          <w:b w:val="0"/>
          <w:bCs w:val="0"/>
          <w:sz w:val="32"/>
          <w:szCs w:val="32"/>
          <w:highlight w:val="none"/>
          <w:lang w:val="en-US" w:eastAsia="zh-CN"/>
        </w:rPr>
        <w:t>2021年，成都市演出场次、票房收入与接待观众数量不仅位居全省第一，而且在“2021城市演出场次、票房收入综合排序”中，成都市排在省会城市及计划单列市第一位。</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（四）取消演出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2020年至2022年4月，仅成都演出市场共取消405个演出项目、1222场演出。（不包含大型商业综合体、景区景点的微型剧场与书场演出）</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（五）演出场所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截止2021年底，全省共有演出场所135个，较疫情前2019年增加9个；从业人数2428人，较疫情前2019年减少1266人，减少9.40%；营业收入51224万元，较疫情前2019年减少23645万元，降低31.60%。</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（六）演出经纪机构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截止2021年底，全省共有演出经纪机构110个，较疫情前2019年减少81个，减少42.40%；从业人数1521人，较疫情前2019年减少1477个，减少49.20%。</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（七）表演团体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截止2021年底，全省共有文艺表演团体663个，较疫情前2019年减少58个，减少8.04%。从业人数13397人，较疫情前2019年减少490人，减少3.52%。</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（八）娱乐市场主体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截止2021年底，全省共有娱乐市场主体3399个，较疫情前2019年减少895个；从业人数31784人，较疫情前2019年减少2021人，减少5.90%；营业收入300552万元，较疫情前2019年减少18547万元，降低5.80%。</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三、2021年四川省演出市场主要特点</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（一）演出市场受疫情影响明显，但在疫情暂缓期间也出现了短暂“春天”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新冠疫情给演出市场带来巨大冲击，其影响之大、范围之广以及产生的连带效应前所未有。由于受疫情和大型活动安全管控等因素影响，演出市场活跃度和消费拉动较疫情前存在较大差距，省内多地局部疫情较长时间压抑了市场发展和消费需求。与此同时，在巨大的生存压力下，演出从业者在危机中求新求变，奋力突围，在断断续续出现的疫情暂缓、演出恢复期间，能够较快恢复市场活力。从长期来看，随着民众对</w:t>
      </w:r>
      <w:r>
        <w:rPr>
          <w:rFonts w:hint="eastAsia" w:ascii="仿宋_GB2312" w:hAnsi="仿宋_GB2312" w:eastAsia="仿宋_GB2312" w:cs="仿宋_GB2312"/>
          <w:sz w:val="32"/>
          <w:szCs w:val="32"/>
          <w:highlight w:val="none"/>
          <w:lang w:val="en-US" w:eastAsia="zh-CN"/>
        </w:rPr>
        <w:fldChar w:fldCharType="begin"/>
      </w:r>
      <w:r>
        <w:rPr>
          <w:rFonts w:hint="eastAsia" w:ascii="仿宋_GB2312" w:hAnsi="仿宋_GB2312" w:eastAsia="仿宋_GB2312" w:cs="仿宋_GB2312"/>
          <w:sz w:val="32"/>
          <w:szCs w:val="32"/>
          <w:highlight w:val="none"/>
          <w:lang w:val="en-US" w:eastAsia="zh-CN"/>
        </w:rPr>
        <w:instrText xml:space="preserve"> HYPERLINK "https://www.zhihu.com/search?q=%E6%96%87%E5%8C%96%E5%A8%B1%E4%B9%90&amp;search_source=Entity&amp;hybrid_search_source=Entity&amp;hybrid_search_extra={"sourceType":"answer","sourceId":1591827690}" \t "_blank" </w:instrText>
      </w:r>
      <w:r>
        <w:rPr>
          <w:rFonts w:hint="eastAsia" w:ascii="仿宋_GB2312" w:hAnsi="仿宋_GB2312" w:eastAsia="仿宋_GB2312" w:cs="仿宋_GB2312"/>
          <w:sz w:val="32"/>
          <w:szCs w:val="32"/>
          <w:highlight w:val="none"/>
          <w:lang w:val="en-US" w:eastAsia="zh-CN"/>
        </w:rPr>
        <w:fldChar w:fldCharType="separate"/>
      </w:r>
      <w:r>
        <w:rPr>
          <w:rFonts w:hint="eastAsia" w:ascii="仿宋_GB2312" w:hAnsi="仿宋_GB2312" w:eastAsia="仿宋_GB2312" w:cs="仿宋_GB2312"/>
          <w:sz w:val="32"/>
          <w:szCs w:val="32"/>
          <w:highlight w:val="none"/>
          <w:lang w:val="en-US" w:eastAsia="zh-CN"/>
        </w:rPr>
        <w:t>文化娱乐</w:t>
      </w:r>
      <w:r>
        <w:rPr>
          <w:rFonts w:hint="eastAsia" w:ascii="仿宋_GB2312" w:hAnsi="仿宋_GB2312" w:eastAsia="仿宋_GB2312" w:cs="仿宋_GB2312"/>
          <w:sz w:val="32"/>
          <w:szCs w:val="32"/>
          <w:highlight w:val="none"/>
          <w:lang w:val="en-US" w:eastAsia="zh-CN"/>
        </w:rPr>
        <w:fldChar w:fldCharType="end"/>
      </w:r>
      <w:r>
        <w:rPr>
          <w:rFonts w:hint="eastAsia" w:ascii="仿宋_GB2312" w:hAnsi="仿宋_GB2312" w:eastAsia="仿宋_GB2312" w:cs="仿宋_GB2312"/>
          <w:sz w:val="32"/>
          <w:szCs w:val="32"/>
          <w:highlight w:val="none"/>
          <w:lang w:val="en-US" w:eastAsia="zh-CN"/>
        </w:rPr>
        <w:t>的需求不断增加，我省演出市场的经济规模仍可能持续呈现增长趋势。</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2021年疫情对我省演出市场的具体影响如下：</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1月，由于疫情出现新增，省内基本没有举办演出活动。</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2月，疫情得到控制，演出在2月下旬恢复。</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月至7月中旬，在严格执行疫情防控措施前提下，全省演出活动基本正常开展。虽然全国散点爆发的疫情对演出市场依然存在影响，但各类演出市场主体逐渐恢复信心，整体呈现出稳步复苏的态势。成都市场出现了话剧《如梦之梦》这样吸引全国各地数万观众和粉丝、有效拉动周边消费3亿元以上的现象级爆款项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月下旬至8月，由于接连发生局部疫情以及多地呈现极端天气，演出市场遭遇疫情常态化防控以来最为严重的一次反复，全省范围多项演出取消，市场热度上扬的态势受抑，直接干扰下半年剧场、演员排期，部分地区跨省“熔断”的防疫要求导致巡演项目和依赖跨省游客的旅游演艺项目取消。</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9月上旬，开始恢复演出。一些因疫情暂停的大型演出季、戏剧节、音乐节等活动得到继续开展并最终圆满完成。</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11月上旬，成都新冠疫情变得特别严重,受疫情影响成都取消了很多演出项目，各娱乐行业、歌舞厅、棋牌室、茶楼都响应政府要求关闭。</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12月初，开始恢复演出。各类新年晚会、跨年音乐会等文化活动得以开展，演出市场得到一定恢复。 </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（二）演出季、戏剧节品牌化发展，市场影响力增强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各大演出市场主体在困境中寻求突破，紧紧抓住全年中疫情暂缓、市场稳定的短暂“春天”，打造自有品牌，开展大型活动，取得不俗成绩。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省、市、县演出单位联动，剧院与院团积极开展“场团合作”，围绕庆祝中国共产党建党100周年，聚焦决胜全面建成小康社会、开启社会主义现代化国家建设新征程等重大题材组织专题文艺创作，开展系列展示展演展播活动，举行系列重大群众文化活动，创建了多个“首届”大型品牌演艺活动，如：第一届“剧美天府”优秀剧目展演季、第一届成都戏剧节，开展了</w:t>
      </w:r>
      <w:r>
        <w:rPr>
          <w:rFonts w:hint="eastAsia" w:ascii="仿宋_GB2312" w:hAnsi="仿宋_GB2312" w:eastAsia="仿宋_GB2312" w:cs="仿宋_GB2312"/>
          <w:kern w:val="2"/>
          <w:sz w:val="32"/>
          <w:szCs w:val="32"/>
          <w:lang w:val="en-US" w:eastAsia="zh-CN" w:bidi="ar-SA"/>
        </w:rPr>
        <w:t>第三届大凉山国际戏剧节、四川省第五届曲艺杂技木偶皮影比赛、四川省第十八届戏剧小品小戏比赛、2021年四川省舞蹈新作比赛、2021年“荟萃蓉城”精品剧目惠民展演暨第四届天府戏剧季等一大批系列活动，提升了四川文化的品牌影响力和辐射力。特别是第一届成都戏剧节，是成都首次举办的全国性戏剧节，在受疫情影响情况下，完全不使用财政资金，完全走市场化运营道路，为成都观众奉献了一大批省内外优秀作品，平均上座率达到80%，获得了良好的市场效益。</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（三）旅游演艺大型新作频出，文旅融合效应显现</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 xml:space="preserve"> 2021年，我省旅游演艺市场最大的变化是多部投资上亿元的项目孵化成功。据统计，截止2019年投资上亿元的旅游演艺项目只有《道解都江堰》《九寨千古情》《梦境光雾山》3个项目。进入2021年后，投资上亿元的旅游演艺项目从原来的3个增加到了8个，新增项目包括投资8.19亿元的《只有峨眉山》、投资1.5亿元的《梦境光雾山》、投资3.5亿元的《斯古拉》、投资2亿的《梦回巴国》、投资1.8亿元的《恩阳船说》、投资10亿元的《丝路神灯》。</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为深入推动我省演艺和旅游产业之间实现资源共享、优势互补、合作共赢，政府积极搭建平台，为在疫情常态化防控形势下的演艺与旅游企业开辟新市场、寻找发展新空间创造有利条件。12月，由四川省文化和旅游厅主办，四川省演出行业协会联合四川省非物质文化遗产保护协会、四川省旅游景区管理协会、四川省旅游饭店协会、四川省旅行社协会、四川省导游协会共同承办的“2021年四川文化和旅游市场融合发展推进会”在成都举办。通过此次活动，为我省的旅游景区、旅游饭店注入新元素、催生文化新体验搭建了交流平台。推进活动后，多个旅游景区、旅游饭店都主动对接联系了多家演艺企业，如开心麻花、疯狂剧社、四川旅投文化、锦官盛世等，多方洽谈寻找合适的项目进行合作，文化和旅游市场融合得到有效推动。</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（四）多元化新业态不断拓展，演出市场转型升级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sz w:val="32"/>
          <w:szCs w:val="32"/>
          <w:highlight w:val="none"/>
          <w:lang w:val="en-US" w:eastAsia="zh-CN"/>
        </w:rPr>
        <w:t>疫情“考验”演艺行业，也打开了我省演出市场转型升级的新空间。数字文化产业得到加快发展，新空间、沉浸式等新业态热度持续上升。一方面，依托演艺新空间等非标准剧场，话剧、音乐剧、儿童剧等市场涌现出更多沉浸式项目，不少沉浸式演出逐渐形成自有品牌，带动持续消费。另一方面，依托个性化场地，沉浸式演出和剧本杀、密室等娱乐项目加速融合，沉浸式娱乐演艺、沉浸式旅游演艺受到更多投资者关注。同时IP运营、跨界联合也引起广泛关注。2021年IP资源的深度利用在舞台、影视、网综之间实现互联，同一剧目的IP深度开发也有更大的发挥空间。在成都开心麻花等成功案例的示范效应下，后续将有更多机构关注演艺IP的价值外延拓展，以“演艺+展览”、文创、高清放映、出版物以及与商业机构、制造企业联名打造衍生产品等多种方式，拉动文化消费升级，探索舞台艺术市场更广阔的发展空间。</w:t>
      </w:r>
    </w:p>
    <w:p>
      <w:pPr>
        <w:spacing w:line="360" w:lineRule="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小标宋简体" w:hAnsi="方正小标宋简体" w:eastAsia="方正小标宋简体" w:cs="方正小标宋简体"/>
          <w:b w:val="0"/>
          <w:bCs w:val="0"/>
          <w:sz w:val="44"/>
          <w:szCs w:val="44"/>
        </w:rPr>
      </w:pPr>
    </w:p>
    <w:p>
      <w:pPr>
        <w:pStyle w:val="2"/>
        <w:rPr>
          <w:rFonts w:hint="eastAsia" w:ascii="方正小标宋简体" w:hAnsi="方正小标宋简体" w:eastAsia="方正小标宋简体" w:cs="方正小标宋简体"/>
          <w:b w:val="0"/>
          <w:bCs w:val="0"/>
          <w:sz w:val="44"/>
          <w:szCs w:val="44"/>
        </w:rPr>
      </w:pPr>
    </w:p>
    <w:p>
      <w:pPr>
        <w:rPr>
          <w:rFonts w:hint="eastAsia" w:ascii="方正小标宋简体" w:hAnsi="方正小标宋简体" w:eastAsia="方正小标宋简体" w:cs="方正小标宋简体"/>
          <w:b w:val="0"/>
          <w:bCs w:val="0"/>
          <w:sz w:val="44"/>
          <w:szCs w:val="44"/>
        </w:rPr>
      </w:pPr>
    </w:p>
    <w:p>
      <w:pPr>
        <w:pStyle w:val="2"/>
        <w:rPr>
          <w:rFonts w:hint="eastAsia" w:ascii="方正小标宋简体" w:hAnsi="方正小标宋简体" w:eastAsia="方正小标宋简体" w:cs="方正小标宋简体"/>
          <w:b w:val="0"/>
          <w:bCs w:val="0"/>
          <w:sz w:val="44"/>
          <w:szCs w:val="44"/>
        </w:rPr>
      </w:pPr>
    </w:p>
    <w:p>
      <w:pPr>
        <w:rPr>
          <w:rFonts w:hint="eastAsia" w:ascii="方正小标宋简体" w:hAnsi="方正小标宋简体" w:eastAsia="方正小标宋简体" w:cs="方正小标宋简体"/>
          <w:b w:val="0"/>
          <w:bCs w:val="0"/>
          <w:sz w:val="44"/>
          <w:szCs w:val="44"/>
        </w:rPr>
      </w:pPr>
    </w:p>
    <w:p>
      <w:pPr>
        <w:pStyle w:val="2"/>
        <w:rPr>
          <w:rFonts w:hint="eastAsia" w:ascii="方正小标宋简体" w:hAnsi="方正小标宋简体" w:eastAsia="方正小标宋简体" w:cs="方正小标宋简体"/>
          <w:b w:val="0"/>
          <w:bCs w:val="0"/>
          <w:sz w:val="44"/>
          <w:szCs w:val="44"/>
        </w:rPr>
      </w:pPr>
    </w:p>
    <w:p>
      <w:pPr>
        <w:rPr>
          <w:rFonts w:hint="eastAsia" w:ascii="方正小标宋简体" w:hAnsi="方正小标宋简体" w:eastAsia="方正小标宋简体" w:cs="方正小标宋简体"/>
          <w:b w:val="0"/>
          <w:bCs w:val="0"/>
          <w:sz w:val="44"/>
          <w:szCs w:val="44"/>
        </w:rPr>
      </w:pPr>
    </w:p>
    <w:p>
      <w:pPr>
        <w:pStyle w:val="2"/>
        <w:rPr>
          <w:rFonts w:hint="eastAsia"/>
        </w:rPr>
      </w:pPr>
    </w:p>
    <w:p>
      <w:pPr>
        <w:rPr>
          <w:rFonts w:hint="eastAsia"/>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第二章</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四川省演出场所状况分析</w:t>
      </w:r>
    </w:p>
    <w:p>
      <w:pPr>
        <w:pStyle w:val="2"/>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 xml:space="preserve"> </w:t>
      </w:r>
      <w:r>
        <w:rPr>
          <w:rFonts w:hint="eastAsia" w:ascii="黑体" w:hAnsi="黑体" w:eastAsia="黑体" w:cs="黑体"/>
          <w:b w:val="0"/>
          <w:bCs w:val="0"/>
          <w:sz w:val="32"/>
          <w:szCs w:val="32"/>
          <w:lang w:val="en-US" w:eastAsia="zh-CN"/>
        </w:rPr>
        <w:t xml:space="preserve">    一、</w:t>
      </w:r>
      <w:r>
        <w:rPr>
          <w:rFonts w:hint="eastAsia" w:ascii="黑体" w:hAnsi="黑体" w:eastAsia="黑体" w:cs="黑体"/>
          <w:b w:val="0"/>
          <w:bCs w:val="0"/>
          <w:sz w:val="32"/>
          <w:szCs w:val="32"/>
        </w:rPr>
        <w:t>四川省</w:t>
      </w:r>
      <w:r>
        <w:rPr>
          <w:rFonts w:hint="eastAsia" w:ascii="黑体" w:hAnsi="黑体" w:eastAsia="黑体" w:cs="黑体"/>
          <w:b w:val="0"/>
          <w:bCs w:val="0"/>
          <w:sz w:val="32"/>
          <w:szCs w:val="32"/>
          <w:lang w:val="en-US" w:eastAsia="zh-CN"/>
        </w:rPr>
        <w:t>演出场所基本情况</w:t>
      </w:r>
      <w:r>
        <w:rPr>
          <w:rFonts w:hint="eastAsia" w:ascii="黑体" w:hAnsi="黑体" w:eastAsia="黑体" w:cs="黑体"/>
          <w:b w:val="0"/>
          <w:bCs w:val="0"/>
          <w:sz w:val="32"/>
          <w:szCs w:val="32"/>
        </w:rPr>
        <w:t xml:space="preserve"> </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本课题所涉演出场所主要指剧院（场）。</w:t>
      </w:r>
    </w:p>
    <w:p>
      <w:pPr>
        <w:pStyle w:val="2"/>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剧院（场）建设与分布情况</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据不完全统计，2021年包含部分近年来经常举办营业性演出活动的大专院校与大型企业的剧场，全省共有演出剧场135个，其中成都市范围内70个，其他市州共计65个，另外还有16个在建或拟建剧场。2021年全省专业剧场从业人员2428人，营业收入51224万元。</w:t>
      </w:r>
    </w:p>
    <w:p>
      <w:pPr>
        <w:jc w:val="center"/>
        <w:rPr>
          <w:rFonts w:hint="eastAsia" w:ascii="宋体" w:hAnsi="宋体" w:eastAsia="宋体" w:cs="宋体"/>
          <w:b/>
          <w:sz w:val="20"/>
          <w:szCs w:val="20"/>
          <w:lang w:val="en-US" w:eastAsia="zh-CN"/>
        </w:rPr>
      </w:pPr>
    </w:p>
    <w:p>
      <w:pPr>
        <w:jc w:val="center"/>
        <w:rPr>
          <w:rFonts w:hint="eastAsia" w:ascii="宋体" w:hAnsi="宋体" w:eastAsia="宋体" w:cs="宋体"/>
          <w:b/>
          <w:sz w:val="20"/>
          <w:szCs w:val="20"/>
        </w:rPr>
      </w:pPr>
      <w:r>
        <w:rPr>
          <w:rFonts w:hint="eastAsia" w:ascii="宋体" w:hAnsi="宋体" w:eastAsia="宋体" w:cs="宋体"/>
          <w:b/>
          <w:sz w:val="20"/>
          <w:szCs w:val="20"/>
          <w:lang w:val="en-US" w:eastAsia="zh-CN"/>
        </w:rPr>
        <w:t xml:space="preserve">图表2-1  </w:t>
      </w:r>
      <w:r>
        <w:rPr>
          <w:rFonts w:hint="eastAsia" w:ascii="宋体" w:hAnsi="宋体" w:eastAsia="宋体" w:cs="宋体"/>
          <w:b/>
          <w:sz w:val="20"/>
          <w:szCs w:val="20"/>
        </w:rPr>
        <w:t>四川省剧场资源调查汇总表（</w:t>
      </w:r>
      <w:r>
        <w:rPr>
          <w:rFonts w:hint="eastAsia" w:ascii="宋体" w:hAnsi="宋体" w:eastAsia="宋体" w:cs="宋体"/>
          <w:b/>
          <w:sz w:val="20"/>
          <w:szCs w:val="20"/>
          <w:lang w:val="en-US" w:eastAsia="zh-Hans"/>
        </w:rPr>
        <w:t>建成</w:t>
      </w:r>
      <w:r>
        <w:rPr>
          <w:rFonts w:hint="eastAsia" w:ascii="宋体" w:hAnsi="宋体" w:eastAsia="宋体" w:cs="宋体"/>
          <w:b/>
          <w:sz w:val="20"/>
          <w:szCs w:val="20"/>
        </w:rPr>
        <w:t>专业演出场馆）</w:t>
      </w:r>
    </w:p>
    <w:tbl>
      <w:tblPr>
        <w:tblStyle w:val="14"/>
        <w:tblpPr w:leftFromText="180" w:rightFromText="180" w:vertAnchor="text" w:horzAnchor="page" w:tblpX="1588" w:tblpY="147"/>
        <w:tblOverlap w:val="never"/>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975"/>
        <w:gridCol w:w="675"/>
        <w:gridCol w:w="705"/>
        <w:gridCol w:w="660"/>
        <w:gridCol w:w="690"/>
        <w:gridCol w:w="855"/>
        <w:gridCol w:w="705"/>
        <w:gridCol w:w="795"/>
        <w:gridCol w:w="820"/>
        <w:gridCol w:w="73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rPr>
        <w:tc>
          <w:tcPr>
            <w:tcW w:w="585" w:type="dxa"/>
            <w:vMerge w:val="restar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序 号</w:t>
            </w:r>
          </w:p>
        </w:tc>
        <w:tc>
          <w:tcPr>
            <w:tcW w:w="975" w:type="dxa"/>
            <w:vMerge w:val="restar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市州名</w:t>
            </w:r>
          </w:p>
        </w:tc>
        <w:tc>
          <w:tcPr>
            <w:tcW w:w="675" w:type="dxa"/>
            <w:vMerge w:val="restar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微性剧场</w:t>
            </w:r>
          </w:p>
        </w:tc>
        <w:tc>
          <w:tcPr>
            <w:tcW w:w="705" w:type="dxa"/>
            <w:vMerge w:val="restar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小型剧场</w:t>
            </w:r>
          </w:p>
        </w:tc>
        <w:tc>
          <w:tcPr>
            <w:tcW w:w="660" w:type="dxa"/>
            <w:vMerge w:val="restar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中型剧场</w:t>
            </w:r>
          </w:p>
        </w:tc>
        <w:tc>
          <w:tcPr>
            <w:tcW w:w="690" w:type="dxa"/>
            <w:vMerge w:val="restar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大型剧场</w:t>
            </w:r>
          </w:p>
        </w:tc>
        <w:tc>
          <w:tcPr>
            <w:tcW w:w="855" w:type="dxa"/>
            <w:vMerge w:val="restar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特大型剧场</w:t>
            </w:r>
          </w:p>
        </w:tc>
        <w:tc>
          <w:tcPr>
            <w:tcW w:w="1500" w:type="dxa"/>
            <w:gridSpan w:val="2"/>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投资主体</w:t>
            </w:r>
          </w:p>
        </w:tc>
        <w:tc>
          <w:tcPr>
            <w:tcW w:w="2545" w:type="dxa"/>
            <w:gridSpan w:val="3"/>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运营模式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trPr>
        <w:tc>
          <w:tcPr>
            <w:tcW w:w="585" w:type="dxa"/>
            <w:vMerge w:val="continue"/>
            <w:vAlign w:val="center"/>
          </w:tcPr>
          <w:p>
            <w:pPr>
              <w:jc w:val="center"/>
              <w:rPr>
                <w:rFonts w:hint="eastAsia" w:ascii="宋体" w:hAnsi="宋体" w:eastAsia="宋体" w:cs="宋体"/>
                <w:sz w:val="20"/>
                <w:szCs w:val="20"/>
              </w:rPr>
            </w:pPr>
          </w:p>
        </w:tc>
        <w:tc>
          <w:tcPr>
            <w:tcW w:w="975" w:type="dxa"/>
            <w:vMerge w:val="continue"/>
            <w:vAlign w:val="center"/>
          </w:tcPr>
          <w:p>
            <w:pPr>
              <w:jc w:val="center"/>
              <w:rPr>
                <w:rFonts w:hint="eastAsia" w:ascii="宋体" w:hAnsi="宋体" w:eastAsia="宋体" w:cs="宋体"/>
                <w:sz w:val="20"/>
                <w:szCs w:val="20"/>
              </w:rPr>
            </w:pPr>
          </w:p>
        </w:tc>
        <w:tc>
          <w:tcPr>
            <w:tcW w:w="675" w:type="dxa"/>
            <w:vMerge w:val="continue"/>
            <w:vAlign w:val="center"/>
          </w:tcPr>
          <w:p>
            <w:pPr>
              <w:jc w:val="center"/>
              <w:rPr>
                <w:rFonts w:hint="eastAsia" w:ascii="宋体" w:hAnsi="宋体" w:eastAsia="宋体" w:cs="宋体"/>
                <w:sz w:val="20"/>
                <w:szCs w:val="20"/>
              </w:rPr>
            </w:pPr>
          </w:p>
        </w:tc>
        <w:tc>
          <w:tcPr>
            <w:tcW w:w="705" w:type="dxa"/>
            <w:vMerge w:val="continue"/>
            <w:vAlign w:val="center"/>
          </w:tcPr>
          <w:p>
            <w:pPr>
              <w:jc w:val="center"/>
              <w:rPr>
                <w:rFonts w:hint="eastAsia" w:ascii="宋体" w:hAnsi="宋体" w:eastAsia="宋体" w:cs="宋体"/>
                <w:sz w:val="20"/>
                <w:szCs w:val="20"/>
              </w:rPr>
            </w:pPr>
          </w:p>
        </w:tc>
        <w:tc>
          <w:tcPr>
            <w:tcW w:w="660" w:type="dxa"/>
            <w:vMerge w:val="continue"/>
            <w:vAlign w:val="center"/>
          </w:tcPr>
          <w:p>
            <w:pPr>
              <w:jc w:val="center"/>
              <w:rPr>
                <w:rFonts w:hint="eastAsia" w:ascii="宋体" w:hAnsi="宋体" w:eastAsia="宋体" w:cs="宋体"/>
                <w:sz w:val="20"/>
                <w:szCs w:val="20"/>
              </w:rPr>
            </w:pPr>
          </w:p>
        </w:tc>
        <w:tc>
          <w:tcPr>
            <w:tcW w:w="690" w:type="dxa"/>
            <w:vMerge w:val="continue"/>
            <w:vAlign w:val="center"/>
          </w:tcPr>
          <w:p>
            <w:pPr>
              <w:jc w:val="center"/>
              <w:rPr>
                <w:rFonts w:hint="eastAsia" w:ascii="宋体" w:hAnsi="宋体" w:eastAsia="宋体" w:cs="宋体"/>
                <w:sz w:val="20"/>
                <w:szCs w:val="20"/>
              </w:rPr>
            </w:pPr>
          </w:p>
        </w:tc>
        <w:tc>
          <w:tcPr>
            <w:tcW w:w="855" w:type="dxa"/>
            <w:vMerge w:val="continue"/>
            <w:vAlign w:val="center"/>
          </w:tcPr>
          <w:p>
            <w:pPr>
              <w:jc w:val="center"/>
              <w:rPr>
                <w:rFonts w:hint="eastAsia" w:ascii="宋体" w:hAnsi="宋体" w:eastAsia="宋体" w:cs="宋体"/>
                <w:sz w:val="20"/>
                <w:szCs w:val="20"/>
              </w:rPr>
            </w:pPr>
          </w:p>
        </w:tc>
        <w:tc>
          <w:tcPr>
            <w:tcW w:w="705" w:type="dxa"/>
            <w:vAlign w:val="center"/>
          </w:tcPr>
          <w:p>
            <w:pPr>
              <w:jc w:val="center"/>
              <w:rPr>
                <w:rFonts w:hint="eastAsia" w:ascii="宋体" w:hAnsi="宋体" w:eastAsia="宋体" w:cs="宋体"/>
                <w:sz w:val="20"/>
                <w:szCs w:val="20"/>
              </w:rPr>
            </w:pPr>
            <w:r>
              <w:rPr>
                <w:rFonts w:hint="eastAsia" w:ascii="宋体" w:hAnsi="宋体" w:eastAsia="宋体" w:cs="宋体"/>
                <w:sz w:val="20"/>
                <w:szCs w:val="20"/>
              </w:rPr>
              <w:t>国有</w:t>
            </w:r>
          </w:p>
        </w:tc>
        <w:tc>
          <w:tcPr>
            <w:tcW w:w="795" w:type="dxa"/>
            <w:vAlign w:val="center"/>
          </w:tcPr>
          <w:p>
            <w:pPr>
              <w:jc w:val="center"/>
              <w:rPr>
                <w:rFonts w:hint="eastAsia" w:ascii="宋体" w:hAnsi="宋体" w:eastAsia="宋体" w:cs="宋体"/>
                <w:sz w:val="20"/>
                <w:szCs w:val="20"/>
              </w:rPr>
            </w:pPr>
            <w:r>
              <w:rPr>
                <w:rFonts w:hint="eastAsia" w:ascii="宋体" w:hAnsi="宋体" w:eastAsia="宋体" w:cs="宋体"/>
                <w:sz w:val="20"/>
                <w:szCs w:val="20"/>
              </w:rPr>
              <w:t>民营</w:t>
            </w:r>
          </w:p>
        </w:tc>
        <w:tc>
          <w:tcPr>
            <w:tcW w:w="820" w:type="dxa"/>
            <w:vAlign w:val="center"/>
          </w:tcPr>
          <w:p>
            <w:pPr>
              <w:jc w:val="center"/>
              <w:rPr>
                <w:rFonts w:hint="eastAsia" w:ascii="宋体" w:hAnsi="宋体" w:eastAsia="宋体" w:cs="宋体"/>
                <w:sz w:val="20"/>
                <w:szCs w:val="20"/>
              </w:rPr>
            </w:pPr>
            <w:r>
              <w:rPr>
                <w:rFonts w:hint="eastAsia" w:ascii="宋体" w:hAnsi="宋体" w:eastAsia="宋体" w:cs="宋体"/>
                <w:sz w:val="20"/>
                <w:szCs w:val="20"/>
              </w:rPr>
              <w:t>自主经营</w:t>
            </w:r>
          </w:p>
        </w:tc>
        <w:tc>
          <w:tcPr>
            <w:tcW w:w="735" w:type="dxa"/>
            <w:vAlign w:val="center"/>
          </w:tcPr>
          <w:p>
            <w:pPr>
              <w:jc w:val="center"/>
              <w:rPr>
                <w:rFonts w:hint="eastAsia" w:ascii="宋体" w:hAnsi="宋体" w:eastAsia="宋体" w:cs="宋体"/>
                <w:sz w:val="20"/>
                <w:szCs w:val="20"/>
              </w:rPr>
            </w:pPr>
            <w:r>
              <w:rPr>
                <w:rFonts w:hint="eastAsia" w:ascii="宋体" w:hAnsi="宋体" w:eastAsia="宋体" w:cs="宋体"/>
                <w:sz w:val="20"/>
                <w:szCs w:val="20"/>
              </w:rPr>
              <w:t>委托经营</w:t>
            </w:r>
          </w:p>
        </w:tc>
        <w:tc>
          <w:tcPr>
            <w:tcW w:w="990" w:type="dxa"/>
            <w:vAlign w:val="center"/>
          </w:tcPr>
          <w:p>
            <w:pPr>
              <w:jc w:val="center"/>
              <w:rPr>
                <w:rFonts w:hint="eastAsia" w:ascii="宋体" w:hAnsi="宋体" w:eastAsia="宋体" w:cs="宋体"/>
                <w:sz w:val="20"/>
                <w:szCs w:val="20"/>
              </w:rPr>
            </w:pPr>
            <w:r>
              <w:rPr>
                <w:rFonts w:hint="eastAsia" w:ascii="宋体" w:hAnsi="宋体" w:eastAsia="宋体" w:cs="宋体"/>
                <w:sz w:val="20"/>
                <w:szCs w:val="20"/>
              </w:rPr>
              <w:t>院（团）合一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成都</w:t>
            </w:r>
          </w:p>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70</w:t>
            </w:r>
          </w:p>
        </w:tc>
        <w:tc>
          <w:tcPr>
            <w:tcW w:w="6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23</w:t>
            </w: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23</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9</w:t>
            </w:r>
          </w:p>
        </w:tc>
        <w:tc>
          <w:tcPr>
            <w:tcW w:w="6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w:t>
            </w:r>
          </w:p>
        </w:tc>
        <w:tc>
          <w:tcPr>
            <w:tcW w:w="85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2+3</w:t>
            </w: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42</w:t>
            </w:r>
          </w:p>
        </w:tc>
        <w:tc>
          <w:tcPr>
            <w:tcW w:w="79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28</w:t>
            </w: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41</w:t>
            </w:r>
          </w:p>
        </w:tc>
        <w:tc>
          <w:tcPr>
            <w:tcW w:w="73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12</w:t>
            </w: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绵阳6</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6</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73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德阳4</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广元1</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凉山8</w:t>
            </w:r>
          </w:p>
        </w:tc>
        <w:tc>
          <w:tcPr>
            <w:tcW w:w="6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w:t>
            </w: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8</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8</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6</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内江4</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3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7</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自贡2</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8</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达州3</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9</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泸州3</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广安1</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11</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乐山5</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79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12</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遂宁5</w:t>
            </w:r>
          </w:p>
        </w:tc>
        <w:tc>
          <w:tcPr>
            <w:tcW w:w="6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w:t>
            </w:r>
          </w:p>
        </w:tc>
        <w:tc>
          <w:tcPr>
            <w:tcW w:w="79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13</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巴中1</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60" w:type="dxa"/>
            <w:vAlign w:val="center"/>
          </w:tcPr>
          <w:p>
            <w:pPr>
              <w:jc w:val="center"/>
              <w:rPr>
                <w:rFonts w:hint="eastAsia" w:ascii="宋体" w:hAnsi="宋体" w:eastAsia="宋体" w:cs="宋体"/>
                <w:color w:val="auto"/>
                <w:kern w:val="0"/>
                <w:sz w:val="20"/>
                <w:szCs w:val="20"/>
              </w:rPr>
            </w:pP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14</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资阳4</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6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79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4</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15</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宜宾2</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16</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甘孜1</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17</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阿坝3</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18</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南充6</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6</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585" w:type="dxa"/>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19</w:t>
            </w:r>
          </w:p>
        </w:tc>
        <w:tc>
          <w:tcPr>
            <w:tcW w:w="975" w:type="dxa"/>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眉山3</w:t>
            </w:r>
          </w:p>
        </w:tc>
        <w:tc>
          <w:tcPr>
            <w:tcW w:w="675" w:type="dxa"/>
          </w:tcPr>
          <w:p>
            <w:pPr>
              <w:rPr>
                <w:rFonts w:hint="eastAsia" w:ascii="宋体" w:hAnsi="宋体" w:eastAsia="宋体" w:cs="宋体"/>
                <w:color w:val="auto"/>
                <w:kern w:val="0"/>
                <w:sz w:val="20"/>
                <w:szCs w:val="20"/>
              </w:rPr>
            </w:pPr>
          </w:p>
        </w:tc>
        <w:tc>
          <w:tcPr>
            <w:tcW w:w="705" w:type="dxa"/>
          </w:tcPr>
          <w:p>
            <w:pPr>
              <w:rPr>
                <w:rFonts w:hint="eastAsia" w:ascii="宋体" w:hAnsi="宋体" w:eastAsia="宋体" w:cs="宋体"/>
                <w:color w:val="auto"/>
                <w:kern w:val="0"/>
                <w:sz w:val="20"/>
                <w:szCs w:val="20"/>
              </w:rPr>
            </w:pPr>
          </w:p>
        </w:tc>
        <w:tc>
          <w:tcPr>
            <w:tcW w:w="660" w:type="dxa"/>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690" w:type="dxa"/>
          </w:tcPr>
          <w:p>
            <w:pPr>
              <w:rPr>
                <w:rFonts w:hint="eastAsia" w:ascii="宋体" w:hAnsi="宋体" w:eastAsia="宋体" w:cs="宋体"/>
                <w:color w:val="auto"/>
                <w:kern w:val="0"/>
                <w:sz w:val="20"/>
                <w:szCs w:val="20"/>
              </w:rPr>
            </w:pPr>
          </w:p>
        </w:tc>
        <w:tc>
          <w:tcPr>
            <w:tcW w:w="855" w:type="dxa"/>
          </w:tcPr>
          <w:p>
            <w:pPr>
              <w:jc w:val="center"/>
              <w:rPr>
                <w:rFonts w:hint="eastAsia" w:ascii="宋体" w:hAnsi="宋体" w:eastAsia="宋体" w:cs="宋体"/>
                <w:color w:val="auto"/>
                <w:kern w:val="0"/>
                <w:sz w:val="20"/>
                <w:szCs w:val="20"/>
              </w:rPr>
            </w:pPr>
          </w:p>
        </w:tc>
        <w:tc>
          <w:tcPr>
            <w:tcW w:w="705" w:type="dxa"/>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795" w:type="dxa"/>
          </w:tcPr>
          <w:p>
            <w:pPr>
              <w:jc w:val="center"/>
              <w:rPr>
                <w:rFonts w:hint="eastAsia" w:ascii="宋体" w:hAnsi="宋体" w:eastAsia="宋体" w:cs="宋体"/>
                <w:color w:val="auto"/>
                <w:kern w:val="0"/>
                <w:sz w:val="20"/>
                <w:szCs w:val="20"/>
              </w:rPr>
            </w:pPr>
          </w:p>
        </w:tc>
        <w:tc>
          <w:tcPr>
            <w:tcW w:w="820" w:type="dxa"/>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735" w:type="dxa"/>
          </w:tcPr>
          <w:p>
            <w:pPr>
              <w:jc w:val="center"/>
              <w:rPr>
                <w:rFonts w:hint="eastAsia" w:ascii="宋体" w:hAnsi="宋体" w:eastAsia="宋体" w:cs="宋体"/>
                <w:color w:val="auto"/>
                <w:kern w:val="0"/>
                <w:sz w:val="20"/>
                <w:szCs w:val="20"/>
              </w:rPr>
            </w:pPr>
          </w:p>
        </w:tc>
        <w:tc>
          <w:tcPr>
            <w:tcW w:w="990" w:type="dxa"/>
            <w:vAlign w:val="center"/>
          </w:tcPr>
          <w:p>
            <w:pP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攀枝花2</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21</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雅安1</w:t>
            </w:r>
          </w:p>
        </w:tc>
        <w:tc>
          <w:tcPr>
            <w:tcW w:w="67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660" w:type="dxa"/>
            <w:vAlign w:val="center"/>
          </w:tcPr>
          <w:p>
            <w:pPr>
              <w:jc w:val="center"/>
              <w:rPr>
                <w:rFonts w:hint="eastAsia" w:ascii="宋体" w:hAnsi="宋体" w:eastAsia="宋体" w:cs="宋体"/>
                <w:color w:val="auto"/>
                <w:kern w:val="0"/>
                <w:sz w:val="20"/>
                <w:szCs w:val="20"/>
              </w:rPr>
            </w:pPr>
          </w:p>
        </w:tc>
        <w:tc>
          <w:tcPr>
            <w:tcW w:w="690" w:type="dxa"/>
            <w:vAlign w:val="center"/>
          </w:tcPr>
          <w:p>
            <w:pPr>
              <w:jc w:val="center"/>
              <w:rPr>
                <w:rFonts w:hint="eastAsia" w:ascii="宋体" w:hAnsi="宋体" w:eastAsia="宋体" w:cs="宋体"/>
                <w:color w:val="auto"/>
                <w:kern w:val="0"/>
                <w:sz w:val="20"/>
                <w:szCs w:val="20"/>
              </w:rPr>
            </w:pPr>
          </w:p>
        </w:tc>
        <w:tc>
          <w:tcPr>
            <w:tcW w:w="855" w:type="dxa"/>
            <w:vAlign w:val="center"/>
          </w:tcPr>
          <w:p>
            <w:pPr>
              <w:jc w:val="center"/>
              <w:rPr>
                <w:rFonts w:hint="eastAsia" w:ascii="宋体" w:hAnsi="宋体" w:eastAsia="宋体" w:cs="宋体"/>
                <w:color w:val="auto"/>
                <w:kern w:val="0"/>
                <w:sz w:val="20"/>
                <w:szCs w:val="20"/>
              </w:rPr>
            </w:pP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5" w:type="dxa"/>
            <w:vAlign w:val="center"/>
          </w:tcPr>
          <w:p>
            <w:pPr>
              <w:jc w:val="center"/>
              <w:rPr>
                <w:rFonts w:hint="eastAsia" w:ascii="宋体" w:hAnsi="宋体" w:eastAsia="宋体" w:cs="宋体"/>
                <w:color w:val="auto"/>
                <w:kern w:val="0"/>
                <w:sz w:val="20"/>
                <w:szCs w:val="20"/>
              </w:rPr>
            </w:pP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35" w:type="dxa"/>
            <w:vAlign w:val="center"/>
          </w:tcPr>
          <w:p>
            <w:pPr>
              <w:jc w:val="center"/>
              <w:rPr>
                <w:rFonts w:hint="eastAsia" w:ascii="宋体" w:hAnsi="宋体" w:eastAsia="宋体" w:cs="宋体"/>
                <w:color w:val="auto"/>
                <w:kern w:val="0"/>
                <w:sz w:val="20"/>
                <w:szCs w:val="20"/>
              </w:rPr>
            </w:pPr>
          </w:p>
        </w:tc>
        <w:tc>
          <w:tcPr>
            <w:tcW w:w="990" w:type="dxa"/>
            <w:vAlign w:val="center"/>
          </w:tcPr>
          <w:p>
            <w:pPr>
              <w:jc w:val="center"/>
              <w:rPr>
                <w:rFonts w:hint="eastAsia"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合计</w:t>
            </w:r>
          </w:p>
        </w:tc>
        <w:tc>
          <w:tcPr>
            <w:tcW w:w="9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135</w:t>
            </w:r>
          </w:p>
        </w:tc>
        <w:tc>
          <w:tcPr>
            <w:tcW w:w="67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29</w:t>
            </w: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w:t>
            </w:r>
          </w:p>
        </w:tc>
        <w:tc>
          <w:tcPr>
            <w:tcW w:w="66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35</w:t>
            </w:r>
          </w:p>
        </w:tc>
        <w:tc>
          <w:tcPr>
            <w:tcW w:w="6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 xml:space="preserve">16 </w:t>
            </w:r>
          </w:p>
        </w:tc>
        <w:tc>
          <w:tcPr>
            <w:tcW w:w="85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w:t>
            </w:r>
          </w:p>
        </w:tc>
        <w:tc>
          <w:tcPr>
            <w:tcW w:w="70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w:t>
            </w:r>
          </w:p>
        </w:tc>
        <w:tc>
          <w:tcPr>
            <w:tcW w:w="79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35</w:t>
            </w:r>
          </w:p>
        </w:tc>
        <w:tc>
          <w:tcPr>
            <w:tcW w:w="82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91</w:t>
            </w:r>
          </w:p>
        </w:tc>
        <w:tc>
          <w:tcPr>
            <w:tcW w:w="735"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18</w:t>
            </w:r>
          </w:p>
        </w:tc>
        <w:tc>
          <w:tcPr>
            <w:tcW w:w="990" w:type="dxa"/>
            <w:vAlign w:val="center"/>
          </w:tcPr>
          <w:p>
            <w:pPr>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26</w:t>
            </w:r>
          </w:p>
        </w:tc>
      </w:tr>
    </w:tbl>
    <w:p>
      <w:pPr>
        <w:rPr>
          <w:rFonts w:hint="eastAsia" w:ascii="宋体" w:hAnsi="宋体" w:eastAsia="宋体" w:cs="宋体"/>
          <w:sz w:val="20"/>
          <w:szCs w:val="20"/>
        </w:rPr>
      </w:pPr>
      <w:r>
        <w:rPr>
          <w:rFonts w:hint="eastAsia" w:ascii="宋体" w:hAnsi="宋体" w:eastAsia="宋体" w:cs="宋体"/>
          <w:sz w:val="20"/>
          <w:szCs w:val="20"/>
        </w:rPr>
        <w:t>*备注1：根据剧场座位席数，微型剧场为300座及以下，小型剧场为301-800座，中型剧场为801-1200座，大型剧场为1201-1600座，特大型剧场为1601座及以上。</w:t>
      </w:r>
    </w:p>
    <w:p>
      <w:pPr>
        <w:rPr>
          <w:rFonts w:hint="eastAsia" w:ascii="宋体" w:hAnsi="宋体" w:eastAsia="宋体" w:cs="宋体"/>
          <w:sz w:val="20"/>
          <w:szCs w:val="20"/>
        </w:rPr>
      </w:pPr>
      <w:r>
        <w:rPr>
          <w:rFonts w:hint="eastAsia" w:ascii="宋体" w:hAnsi="宋体" w:eastAsia="宋体" w:cs="宋体"/>
          <w:sz w:val="20"/>
          <w:szCs w:val="20"/>
        </w:rPr>
        <w:t>*备注2：简阳市东来印象大剧院歌剧厅和音乐厅未投入使用，运营模式待定。</w:t>
      </w:r>
    </w:p>
    <w:p>
      <w:pPr>
        <w:rPr>
          <w:rFonts w:hint="eastAsia" w:ascii="宋体" w:hAnsi="宋体" w:eastAsia="宋体" w:cs="宋体"/>
          <w:sz w:val="20"/>
          <w:szCs w:val="20"/>
        </w:rPr>
      </w:pPr>
      <w:r>
        <w:rPr>
          <w:rFonts w:hint="eastAsia" w:ascii="宋体" w:hAnsi="宋体" w:eastAsia="宋体" w:cs="宋体"/>
          <w:sz w:val="20"/>
          <w:szCs w:val="20"/>
        </w:rPr>
        <w:t>*备注3：遂宁莲花会展中心剧场运营模式待定。</w:t>
      </w:r>
    </w:p>
    <w:p>
      <w:pPr>
        <w:pStyle w:val="17"/>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color w:val="auto"/>
          <w:kern w:val="0"/>
          <w:sz w:val="32"/>
          <w:szCs w:val="32"/>
          <w:shd w:val="clear" w:color="auto" w:fill="FFFFFF"/>
        </w:rPr>
        <w:t>从剧场规模和类型来看，全省已建成的</w:t>
      </w:r>
      <w:r>
        <w:rPr>
          <w:rFonts w:hint="eastAsia" w:ascii="仿宋_GB2312" w:hAnsi="仿宋_GB2312" w:eastAsia="仿宋_GB2312" w:cs="仿宋_GB2312"/>
          <w:color w:val="auto"/>
          <w:kern w:val="0"/>
          <w:sz w:val="32"/>
          <w:szCs w:val="32"/>
          <w:shd w:val="clear" w:color="auto" w:fill="FFFFFF"/>
          <w:lang w:val="en-US" w:eastAsia="zh-CN"/>
        </w:rPr>
        <w:t>135个</w:t>
      </w:r>
      <w:r>
        <w:rPr>
          <w:rFonts w:hint="eastAsia" w:ascii="仿宋_GB2312" w:hAnsi="仿宋_GB2312" w:eastAsia="仿宋_GB2312" w:cs="仿宋_GB2312"/>
          <w:color w:val="auto"/>
          <w:kern w:val="0"/>
          <w:sz w:val="32"/>
          <w:szCs w:val="32"/>
          <w:shd w:val="clear" w:color="auto" w:fill="FFFFFF"/>
        </w:rPr>
        <w:t>专业剧场中：1601座以上的特大剧场</w:t>
      </w:r>
      <w:r>
        <w:rPr>
          <w:rFonts w:hint="eastAsia" w:ascii="仿宋_GB2312" w:hAnsi="仿宋_GB2312" w:eastAsia="仿宋_GB2312" w:cs="仿宋_GB2312"/>
          <w:color w:val="auto"/>
          <w:kern w:val="0"/>
          <w:sz w:val="32"/>
          <w:szCs w:val="32"/>
          <w:shd w:val="clear" w:color="auto" w:fill="FFFFFF"/>
          <w:lang w:val="en-US" w:eastAsia="zh-CN"/>
        </w:rPr>
        <w:t>2</w:t>
      </w:r>
      <w:r>
        <w:rPr>
          <w:rFonts w:hint="eastAsia" w:ascii="仿宋_GB2312" w:hAnsi="仿宋_GB2312" w:eastAsia="仿宋_GB2312" w:cs="仿宋_GB2312"/>
          <w:color w:val="auto"/>
          <w:kern w:val="0"/>
          <w:sz w:val="32"/>
          <w:szCs w:val="32"/>
          <w:shd w:val="clear" w:color="auto" w:fill="FFFFFF"/>
        </w:rPr>
        <w:t>个</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lang w:val="en-US" w:eastAsia="zh-CN"/>
        </w:rPr>
        <w:t>分别为</w:t>
      </w:r>
      <w:r>
        <w:rPr>
          <w:rFonts w:hint="eastAsia" w:ascii="仿宋_GB2312" w:hAnsi="仿宋_GB2312" w:eastAsia="仿宋_GB2312" w:cs="仿宋_GB2312"/>
          <w:color w:val="auto"/>
          <w:kern w:val="0"/>
          <w:sz w:val="32"/>
          <w:szCs w:val="32"/>
          <w:shd w:val="clear" w:color="auto" w:fill="FFFFFF"/>
        </w:rPr>
        <w:t>四川大剧院、东郊记忆演艺中心</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主要用于举办大型演唱会及大型综艺活动的演出场馆3个</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lang w:val="en-US" w:eastAsia="zh-CN"/>
        </w:rPr>
        <w:t>分别为</w:t>
      </w:r>
      <w:r>
        <w:rPr>
          <w:rFonts w:hint="eastAsia" w:ascii="仿宋_GB2312" w:hAnsi="仿宋_GB2312" w:eastAsia="仿宋_GB2312" w:cs="仿宋_GB2312"/>
          <w:color w:val="auto"/>
          <w:kern w:val="0"/>
          <w:sz w:val="32"/>
          <w:szCs w:val="32"/>
          <w:shd w:val="clear" w:color="auto" w:fill="FFFFFF"/>
        </w:rPr>
        <w:t>华熙LIVE·528M空间、五粮液成都演艺中心、青白江文体中心；1201－1600座的大型剧场1</w:t>
      </w:r>
      <w:r>
        <w:rPr>
          <w:rFonts w:hint="eastAsia" w:ascii="仿宋_GB2312" w:hAnsi="仿宋_GB2312" w:eastAsia="仿宋_GB2312" w:cs="仿宋_GB2312"/>
          <w:color w:val="auto"/>
          <w:kern w:val="0"/>
          <w:sz w:val="32"/>
          <w:szCs w:val="32"/>
          <w:shd w:val="clear" w:color="auto" w:fill="FFFFFF"/>
          <w:lang w:val="en-US" w:eastAsia="zh-CN"/>
        </w:rPr>
        <w:t>6</w:t>
      </w:r>
      <w:r>
        <w:rPr>
          <w:rFonts w:hint="eastAsia" w:ascii="仿宋_GB2312" w:hAnsi="仿宋_GB2312" w:eastAsia="仿宋_GB2312" w:cs="仿宋_GB2312"/>
          <w:color w:val="auto"/>
          <w:kern w:val="0"/>
          <w:sz w:val="32"/>
          <w:szCs w:val="32"/>
          <w:shd w:val="clear" w:color="auto" w:fill="FFFFFF"/>
        </w:rPr>
        <w:t>个</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801－1200座的中型剧场</w:t>
      </w:r>
      <w:r>
        <w:rPr>
          <w:rFonts w:hint="eastAsia" w:ascii="仿宋_GB2312" w:hAnsi="仿宋_GB2312" w:eastAsia="仿宋_GB2312" w:cs="仿宋_GB2312"/>
          <w:color w:val="auto"/>
          <w:kern w:val="0"/>
          <w:sz w:val="32"/>
          <w:szCs w:val="32"/>
          <w:shd w:val="clear" w:color="auto" w:fill="FFFFFF"/>
          <w:lang w:val="en-US" w:eastAsia="zh-CN"/>
        </w:rPr>
        <w:t>35</w:t>
      </w:r>
      <w:r>
        <w:rPr>
          <w:rFonts w:hint="eastAsia" w:ascii="仿宋_GB2312" w:hAnsi="仿宋_GB2312" w:eastAsia="仿宋_GB2312" w:cs="仿宋_GB2312"/>
          <w:color w:val="auto"/>
          <w:kern w:val="0"/>
          <w:sz w:val="32"/>
          <w:szCs w:val="32"/>
          <w:shd w:val="clear" w:color="auto" w:fill="FFFFFF"/>
        </w:rPr>
        <w:t>个</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300－800座的小型剧场50个</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300座以下的微型剧场</w:t>
      </w:r>
      <w:r>
        <w:rPr>
          <w:rFonts w:hint="eastAsia" w:ascii="仿宋_GB2312" w:hAnsi="仿宋_GB2312" w:eastAsia="仿宋_GB2312" w:cs="仿宋_GB2312"/>
          <w:color w:val="auto"/>
          <w:kern w:val="0"/>
          <w:sz w:val="32"/>
          <w:szCs w:val="32"/>
          <w:shd w:val="clear" w:color="auto" w:fill="FFFFFF"/>
          <w:lang w:val="en-US" w:eastAsia="zh-CN"/>
        </w:rPr>
        <w:t>29</w:t>
      </w:r>
      <w:r>
        <w:rPr>
          <w:rFonts w:hint="eastAsia" w:ascii="仿宋_GB2312" w:hAnsi="仿宋_GB2312" w:eastAsia="仿宋_GB2312" w:cs="仿宋_GB2312"/>
          <w:color w:val="auto"/>
          <w:kern w:val="0"/>
          <w:sz w:val="32"/>
          <w:szCs w:val="32"/>
          <w:shd w:val="clear" w:color="auto" w:fill="FFFFFF"/>
        </w:rPr>
        <w:t>个。</w:t>
      </w:r>
      <w:r>
        <w:rPr>
          <w:rFonts w:hint="eastAsia" w:ascii="仿宋_GB2312" w:hAnsi="仿宋_GB2312" w:eastAsia="仿宋_GB2312" w:cs="仿宋_GB2312"/>
          <w:color w:val="auto"/>
          <w:kern w:val="0"/>
          <w:sz w:val="32"/>
          <w:szCs w:val="32"/>
          <w:shd w:val="clear" w:color="auto" w:fill="FFFFFF"/>
          <w:lang w:val="en-US" w:eastAsia="zh-CN"/>
        </w:rPr>
        <w:t>值得一提的是，其中大型剧场和中型剧场分别较2019年增长6个，成为近两年来剧场修建的趋势。在建的</w:t>
      </w:r>
      <w:r>
        <w:rPr>
          <w:rFonts w:hint="eastAsia" w:ascii="仿宋_GB2312" w:hAnsi="仿宋_GB2312" w:eastAsia="仿宋_GB2312" w:cs="仿宋_GB2312"/>
          <w:sz w:val="32"/>
          <w:szCs w:val="32"/>
          <w:lang w:val="en-US" w:eastAsia="zh-Hans"/>
        </w:rPr>
        <w:t>成都</w:t>
      </w:r>
      <w:r>
        <w:rPr>
          <w:rFonts w:hint="eastAsia" w:ascii="仿宋_GB2312" w:hAnsi="仿宋_GB2312" w:eastAsia="仿宋_GB2312" w:cs="仿宋_GB2312"/>
          <w:sz w:val="32"/>
          <w:szCs w:val="32"/>
        </w:rPr>
        <w:t>高新</w:t>
      </w:r>
      <w:r>
        <w:rPr>
          <w:rFonts w:hint="eastAsia" w:ascii="仿宋_GB2312" w:hAnsi="仿宋_GB2312" w:eastAsia="仿宋_GB2312" w:cs="仿宋_GB2312"/>
          <w:sz w:val="32"/>
          <w:szCs w:val="32"/>
          <w:lang w:val="en-US" w:eastAsia="zh-Hans"/>
        </w:rPr>
        <w:t>中演大剧院</w:t>
      </w:r>
      <w:r>
        <w:rPr>
          <w:rFonts w:hint="eastAsia" w:ascii="仿宋_GB2312" w:hAnsi="仿宋_GB2312" w:eastAsia="仿宋_GB2312" w:cs="仿宋_GB2312"/>
          <w:sz w:val="32"/>
          <w:szCs w:val="32"/>
          <w:lang w:val="en-US" w:eastAsia="zh-CN"/>
        </w:rPr>
        <w:t>和成都东安新城大运会剧院均有两个厅计划以中大型剧场呈现。宜宾市、阆中市、眉山市也有在建或拟建的中大型剧场项目。</w:t>
      </w:r>
      <w:r>
        <w:rPr>
          <w:rFonts w:hint="eastAsia" w:ascii="仿宋_GB2312" w:hAnsi="仿宋_GB2312" w:eastAsia="仿宋_GB2312" w:cs="仿宋_GB2312"/>
          <w:color w:val="auto"/>
          <w:kern w:val="0"/>
          <w:sz w:val="32"/>
          <w:szCs w:val="32"/>
          <w:shd w:val="clear" w:color="auto" w:fill="FFFFFF"/>
        </w:rPr>
        <w:t>此外，还有部分可举办营业性演唱会及综艺活动的体育场馆，如成都双流体育中心体育馆、四川省体育馆等，以及在购物中心、文化街区开展曲艺、儿童剧与小型话剧演出的微小剧场，如</w:t>
      </w:r>
      <w:r>
        <w:rPr>
          <w:rFonts w:hint="eastAsia" w:ascii="仿宋_GB2312" w:hAnsi="仿宋_GB2312" w:eastAsia="仿宋_GB2312" w:cs="仿宋_GB2312"/>
          <w:color w:val="auto"/>
          <w:kern w:val="0"/>
          <w:sz w:val="32"/>
          <w:szCs w:val="32"/>
          <w:shd w:val="clear" w:color="auto" w:fill="FFFFFF"/>
          <w:lang w:val="en-US" w:eastAsia="zh-CN"/>
        </w:rPr>
        <w:t>大喜时代·成都国际剧院、大喜时代剧场、</w:t>
      </w:r>
      <w:r>
        <w:rPr>
          <w:rFonts w:hint="eastAsia" w:ascii="仿宋_GB2312" w:hAnsi="仿宋_GB2312" w:eastAsia="仿宋_GB2312" w:cs="仿宋_GB2312"/>
          <w:color w:val="auto"/>
          <w:kern w:val="0"/>
          <w:sz w:val="32"/>
          <w:szCs w:val="32"/>
          <w:shd w:val="clear" w:color="auto" w:fill="FFFFFF"/>
        </w:rPr>
        <w:t>文殊坊初相遇剧场、言几又成都IFS店剧场、念一川剧场等。</w:t>
      </w:r>
      <w:r>
        <w:rPr>
          <w:rFonts w:hint="eastAsia" w:ascii="仿宋_GB2312" w:hAnsi="仿宋_GB2312" w:eastAsia="仿宋_GB2312" w:cs="仿宋_GB2312"/>
          <w:color w:val="auto"/>
          <w:kern w:val="0"/>
          <w:sz w:val="32"/>
          <w:szCs w:val="32"/>
          <w:shd w:val="clear" w:color="auto" w:fill="FFFFFF"/>
          <w:lang w:val="en-US" w:eastAsia="zh-CN"/>
        </w:rPr>
        <w:t>繁星戏剧场剧场群、CH8冇独演艺空间也逐渐以专业剧场、演艺空间形成文化园区。此外，</w:t>
      </w:r>
      <w:r>
        <w:rPr>
          <w:rFonts w:hint="eastAsia" w:ascii="仿宋_GB2312" w:hAnsi="仿宋_GB2312" w:eastAsia="仿宋_GB2312" w:cs="仿宋_GB2312"/>
          <w:color w:val="auto"/>
          <w:kern w:val="0"/>
          <w:sz w:val="32"/>
          <w:szCs w:val="32"/>
          <w:shd w:val="clear" w:color="auto" w:fill="FFFFFF"/>
        </w:rPr>
        <w:t>省内的各大旅游景区还有5</w:t>
      </w:r>
      <w:r>
        <w:rPr>
          <w:rFonts w:hint="eastAsia" w:ascii="仿宋_GB2312" w:hAnsi="仿宋_GB2312" w:eastAsia="仿宋_GB2312" w:cs="仿宋_GB2312"/>
          <w:color w:val="auto"/>
          <w:kern w:val="0"/>
          <w:sz w:val="32"/>
          <w:szCs w:val="32"/>
          <w:shd w:val="clear" w:color="auto" w:fill="FFFFFF"/>
          <w:lang w:val="en-US" w:eastAsia="zh-CN"/>
        </w:rPr>
        <w:t>1</w:t>
      </w:r>
      <w:r>
        <w:rPr>
          <w:rFonts w:hint="eastAsia" w:ascii="仿宋_GB2312" w:hAnsi="仿宋_GB2312" w:eastAsia="仿宋_GB2312" w:cs="仿宋_GB2312"/>
          <w:color w:val="auto"/>
          <w:kern w:val="0"/>
          <w:sz w:val="32"/>
          <w:szCs w:val="32"/>
          <w:shd w:val="clear" w:color="auto" w:fill="FFFFFF"/>
        </w:rPr>
        <w:t>个举行旅游演艺活动的实景演艺剧场和旅游演艺与舞台剧演出兼用的剧场。</w:t>
      </w:r>
    </w:p>
    <w:p>
      <w:pPr>
        <w:jc w:val="center"/>
        <w:rPr>
          <w:rFonts w:hint="eastAsia" w:ascii="华文中宋" w:hAnsi="华文中宋" w:eastAsia="华文中宋"/>
        </w:rPr>
      </w:pPr>
      <w:r>
        <w:drawing>
          <wp:inline distT="0" distB="0" distL="114300" distR="114300">
            <wp:extent cx="4572000" cy="2743200"/>
            <wp:effectExtent l="4445" t="4445" r="10795" b="10795"/>
            <wp:docPr id="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18"/>
        <w:spacing w:after="156" w:afterLines="50"/>
        <w:ind w:left="419" w:hanging="62"/>
        <w:jc w:val="center"/>
        <w:rPr>
          <w:rFonts w:hint="eastAsia" w:ascii="仿宋_GB2312" w:hAnsi="仿宋_GB2312" w:eastAsia="仿宋_GB2312" w:cs="仿宋_GB2312"/>
          <w:color w:val="auto"/>
          <w:sz w:val="32"/>
          <w:szCs w:val="32"/>
        </w:rPr>
      </w:pPr>
      <w:r>
        <w:rPr>
          <w:rStyle w:val="19"/>
          <w:rFonts w:hint="eastAsia" w:ascii="华文中宋" w:hAnsi="华文中宋" w:eastAsia="华文中宋"/>
        </w:rPr>
        <w:t>图表</w:t>
      </w:r>
      <w:r>
        <w:rPr>
          <w:rStyle w:val="19"/>
          <w:rFonts w:hint="eastAsia" w:ascii="华文中宋" w:hAnsi="华文中宋" w:eastAsia="华文中宋"/>
          <w:lang w:val="en-US" w:eastAsia="zh-CN"/>
        </w:rPr>
        <w:t>2</w:t>
      </w:r>
      <w:r>
        <w:rPr>
          <w:rStyle w:val="19"/>
          <w:rFonts w:hint="eastAsia" w:ascii="华文中宋" w:hAnsi="华文中宋" w:eastAsia="华文中宋"/>
        </w:rPr>
        <w:t>-</w:t>
      </w:r>
      <w:r>
        <w:rPr>
          <w:rStyle w:val="19"/>
          <w:rFonts w:hint="eastAsia" w:ascii="华文中宋" w:hAnsi="华文中宋" w:eastAsia="华文中宋"/>
          <w:lang w:val="en-US" w:eastAsia="zh-CN"/>
        </w:rPr>
        <w:t>2  四川省</w:t>
      </w:r>
      <w:r>
        <w:rPr>
          <w:rStyle w:val="19"/>
          <w:rFonts w:hint="eastAsia" w:ascii="华文中宋" w:hAnsi="华文中宋" w:eastAsia="华文中宋"/>
        </w:rPr>
        <w:t>演出场所构成</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从剧场区域分布看，四川的</w:t>
      </w:r>
      <w:r>
        <w:rPr>
          <w:rFonts w:hint="eastAsia" w:ascii="仿宋_GB2312" w:hAnsi="仿宋_GB2312" w:eastAsia="仿宋_GB2312" w:cs="仿宋_GB2312"/>
          <w:color w:val="auto"/>
          <w:sz w:val="32"/>
          <w:szCs w:val="32"/>
          <w:lang w:val="en-US" w:eastAsia="zh-CN"/>
        </w:rPr>
        <w:t>现有135个</w:t>
      </w:r>
      <w:r>
        <w:rPr>
          <w:rFonts w:hint="eastAsia" w:ascii="仿宋_GB2312" w:hAnsi="仿宋_GB2312" w:eastAsia="仿宋_GB2312" w:cs="仿宋_GB2312"/>
          <w:color w:val="auto"/>
          <w:sz w:val="32"/>
          <w:szCs w:val="32"/>
        </w:rPr>
        <w:t>剧场</w:t>
      </w:r>
      <w:r>
        <w:rPr>
          <w:rFonts w:hint="eastAsia" w:ascii="仿宋_GB2312" w:hAnsi="仿宋_GB2312" w:eastAsia="仿宋_GB2312" w:cs="仿宋_GB2312"/>
          <w:color w:val="auto"/>
          <w:sz w:val="32"/>
          <w:szCs w:val="32"/>
          <w:lang w:val="en-US" w:eastAsia="zh-CN"/>
        </w:rPr>
        <w:t>仍</w:t>
      </w:r>
      <w:r>
        <w:rPr>
          <w:rFonts w:hint="eastAsia" w:ascii="仿宋_GB2312" w:hAnsi="仿宋_GB2312" w:eastAsia="仿宋_GB2312" w:cs="仿宋_GB2312"/>
          <w:color w:val="auto"/>
          <w:sz w:val="32"/>
          <w:szCs w:val="32"/>
        </w:rPr>
        <w:t>呈现川西、川南多、川东川北少的特征</w:t>
      </w:r>
      <w:r>
        <w:rPr>
          <w:rFonts w:hint="eastAsia" w:ascii="仿宋_GB2312" w:hAnsi="仿宋_GB2312" w:eastAsia="仿宋_GB2312" w:cs="仿宋_GB2312"/>
          <w:color w:val="auto"/>
          <w:sz w:val="32"/>
          <w:szCs w:val="32"/>
          <w:lang w:val="en-US" w:eastAsia="zh-CN"/>
        </w:rPr>
        <w:t>,16个在建或拟建剧场中有13个剧场项目落地川西地区的成都市和眉山市区，有加剧剧场分布地域性的趋势</w:t>
      </w:r>
      <w:r>
        <w:rPr>
          <w:rFonts w:hint="eastAsia" w:ascii="仿宋_GB2312" w:hAnsi="仿宋_GB2312" w:eastAsia="仿宋_GB2312" w:cs="仿宋_GB2312"/>
          <w:color w:val="auto"/>
          <w:sz w:val="32"/>
          <w:szCs w:val="32"/>
        </w:rPr>
        <w:t>。从行政层级看，呈现上重下轻的结构。省会成都现有专业</w:t>
      </w:r>
      <w:r>
        <w:rPr>
          <w:rFonts w:hint="eastAsia" w:ascii="仿宋_GB2312" w:hAnsi="仿宋_GB2312" w:eastAsia="仿宋_GB2312" w:cs="仿宋_GB2312"/>
          <w:color w:val="auto"/>
          <w:sz w:val="32"/>
          <w:szCs w:val="32"/>
          <w:lang w:val="en-US" w:eastAsia="zh-CN"/>
        </w:rPr>
        <w:t>剧院70</w:t>
      </w:r>
      <w:r>
        <w:rPr>
          <w:rFonts w:hint="eastAsia" w:ascii="仿宋_GB2312" w:hAnsi="仿宋_GB2312" w:eastAsia="仿宋_GB2312" w:cs="仿宋_GB2312"/>
          <w:color w:val="auto"/>
          <w:sz w:val="32"/>
          <w:szCs w:val="32"/>
        </w:rPr>
        <w:t>个，其余20个市州目前共有专业剧场6</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个，不到全省的1／2。除成都外，剧场建设较好的市州分别为绵阳、</w:t>
      </w:r>
      <w:r>
        <w:rPr>
          <w:rFonts w:hint="eastAsia" w:ascii="仿宋_GB2312" w:hAnsi="仿宋_GB2312" w:eastAsia="仿宋_GB2312" w:cs="仿宋_GB2312"/>
          <w:color w:val="auto"/>
          <w:kern w:val="0"/>
          <w:sz w:val="32"/>
          <w:szCs w:val="32"/>
          <w:shd w:val="clear" w:color="auto" w:fill="FFFFFF"/>
        </w:rPr>
        <w:t>达州、南充、宜宾、泸州、凉山、乐山，剧场基础设施建设薄弱的市州有巴中、自贡、广安、雅安、甘孜等。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尽管全省95%的县级城市（不含市、州政府所在的区市县）都有1个以上当地政府修建的剧场（礼堂、影剧院），但这些剧场的设施设备都较为落后，其主要功能是用于当地开展各种节庆文艺演出活动与公益文艺演出活动，没有承接大型营业性演出活动的能力。目前，四川全省的县级城市中，能经常组织开展营业性演出活动的剧场仅有18个，主要集中在市、州政府所在的区（市）县城市或文化旅游城市。这当中，剧场硬件设施最好的为隆昌莲峰大剧院，此外设施建设较好的还有资中苌弘大剧院、峨眉山演艺中心、乐山沙湾区的沫若剧院、汶川水墨桃源大剧院、茂县中国古羌城演艺中心等。</w:t>
      </w:r>
    </w:p>
    <w:p>
      <w:pPr>
        <w:jc w:val="center"/>
      </w:pPr>
      <w:r>
        <w:drawing>
          <wp:inline distT="0" distB="0" distL="114300" distR="114300">
            <wp:extent cx="4572000" cy="2743200"/>
            <wp:effectExtent l="4445" t="4445" r="14605" b="14605"/>
            <wp:docPr id="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jc w:val="center"/>
        <w:rPr>
          <w:rStyle w:val="19"/>
          <w:rFonts w:hint="eastAsia" w:ascii="华文中宋" w:hAnsi="华文中宋" w:eastAsia="华文中宋" w:cstheme="minorBidi"/>
          <w:smallCaps/>
          <w:kern w:val="2"/>
          <w:sz w:val="20"/>
          <w:lang w:val="en-US" w:eastAsia="zh-CN" w:bidi="ar-SA"/>
        </w:rPr>
      </w:pPr>
      <w:r>
        <w:rPr>
          <w:rStyle w:val="19"/>
          <w:rFonts w:hint="eastAsia" w:ascii="华文中宋" w:hAnsi="华文中宋" w:eastAsia="华文中宋" w:cstheme="minorBidi"/>
          <w:smallCaps/>
          <w:kern w:val="2"/>
          <w:sz w:val="20"/>
          <w:lang w:val="en-US" w:eastAsia="zh-CN" w:bidi="ar-SA"/>
        </w:rPr>
        <w:t>图2-3  四川省专业剧场区域分布情况</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sz w:val="32"/>
          <w:szCs w:val="32"/>
        </w:rPr>
        <w:t>从剧场投资建设主体来看，全省</w:t>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4.10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rPr>
        <w:t>的</w:t>
      </w:r>
      <w:r>
        <w:rPr>
          <w:rFonts w:hint="eastAsia" w:ascii="仿宋_GB2312" w:hAnsi="仿宋_GB2312" w:eastAsia="仿宋_GB2312" w:cs="仿宋_GB2312"/>
          <w:color w:val="auto"/>
          <w:sz w:val="32"/>
          <w:szCs w:val="32"/>
          <w:lang w:val="en-US" w:eastAsia="zh-CN"/>
        </w:rPr>
        <w:t>已建成</w:t>
      </w:r>
      <w:r>
        <w:rPr>
          <w:rFonts w:hint="eastAsia" w:ascii="仿宋_GB2312" w:hAnsi="仿宋_GB2312" w:eastAsia="仿宋_GB2312" w:cs="仿宋_GB2312"/>
          <w:color w:val="auto"/>
          <w:sz w:val="32"/>
          <w:szCs w:val="32"/>
        </w:rPr>
        <w:t>剧场投资主体为国有资产投资，尤其是二级城市的专业剧场基本上都是国有资产投资。民营企业投资建设的剧</w:t>
      </w:r>
      <w:r>
        <w:rPr>
          <w:rFonts w:hint="eastAsia" w:ascii="仿宋_GB2312" w:hAnsi="仿宋_GB2312" w:eastAsia="仿宋_GB2312" w:cs="仿宋_GB2312"/>
          <w:color w:val="auto"/>
          <w:sz w:val="32"/>
          <w:szCs w:val="32"/>
          <w:highlight w:val="none"/>
        </w:rPr>
        <w:t>场占</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rPr>
        <w:t>且主要集中在成都市内，此类剧场大多数都是中小型剧场。目前，全省民营投资的代表性剧场（演出</w:t>
      </w:r>
      <w:r>
        <w:rPr>
          <w:rFonts w:hint="eastAsia" w:ascii="仿宋_GB2312" w:hAnsi="仿宋_GB2312" w:eastAsia="仿宋_GB2312" w:cs="仿宋_GB2312"/>
          <w:color w:val="auto"/>
          <w:sz w:val="32"/>
          <w:szCs w:val="32"/>
          <w:lang w:val="en-US" w:eastAsia="zh-CN"/>
        </w:rPr>
        <w:t>场所</w:t>
      </w:r>
      <w:r>
        <w:rPr>
          <w:rFonts w:hint="eastAsia" w:ascii="仿宋_GB2312" w:hAnsi="仿宋_GB2312" w:eastAsia="仿宋_GB2312" w:cs="仿宋_GB2312"/>
          <w:color w:val="auto"/>
          <w:sz w:val="32"/>
          <w:szCs w:val="32"/>
        </w:rPr>
        <w:t>）有泸州的中国酒城大剧院、成都华熙LIVE·528M空间、成都麓湖水上剧场、不凡现场等。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二）</w:t>
      </w:r>
      <w:r>
        <w:rPr>
          <w:rFonts w:hint="eastAsia" w:ascii="仿宋_GB2312" w:hAnsi="仿宋_GB2312" w:eastAsia="仿宋_GB2312" w:cs="仿宋_GB2312"/>
          <w:b/>
          <w:bCs/>
          <w:color w:val="auto"/>
          <w:sz w:val="32"/>
          <w:szCs w:val="32"/>
        </w:rPr>
        <w:t>四川省</w:t>
      </w:r>
      <w:r>
        <w:rPr>
          <w:rFonts w:hint="eastAsia" w:ascii="仿宋_GB2312" w:hAnsi="仿宋_GB2312" w:eastAsia="仿宋_GB2312" w:cs="仿宋_GB2312"/>
          <w:b/>
          <w:bCs/>
          <w:color w:val="auto"/>
          <w:sz w:val="32"/>
          <w:szCs w:val="32"/>
          <w:lang w:val="en-US" w:eastAsia="zh-CN"/>
        </w:rPr>
        <w:t>演出场所</w:t>
      </w:r>
      <w:r>
        <w:rPr>
          <w:rFonts w:hint="eastAsia" w:ascii="仿宋_GB2312" w:hAnsi="仿宋_GB2312" w:eastAsia="仿宋_GB2312" w:cs="仿宋_GB2312"/>
          <w:b/>
          <w:bCs/>
          <w:color w:val="auto"/>
          <w:sz w:val="32"/>
          <w:szCs w:val="32"/>
        </w:rPr>
        <w:t>运营模式归纳</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color w:val="auto"/>
          <w:kern w:val="0"/>
          <w:sz w:val="32"/>
          <w:szCs w:val="32"/>
          <w:shd w:val="clear" w:color="auto" w:fill="FFFFFF"/>
          <w:lang w:val="en-US" w:eastAsia="zh-CN"/>
        </w:rPr>
        <w:t>根据《全国专业剧场发展情况调研报告》，我国专业剧场的经营模式大体可分为自主经营、托管经营、“场团合一”和院线式经营四种模式，其中四川省专业剧场仍主要采用前三种运营模式为主。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pPr>
      <w:r>
        <w:rPr>
          <w:rFonts w:hint="eastAsia" w:ascii="仿宋_GB2312" w:hAnsi="仿宋_GB2312" w:eastAsia="仿宋_GB2312" w:cs="仿宋_GB2312"/>
          <w:color w:val="auto"/>
          <w:kern w:val="0"/>
          <w:sz w:val="32"/>
          <w:szCs w:val="32"/>
          <w:shd w:val="clear" w:color="auto" w:fill="FFFFFF"/>
          <w:lang w:val="en-US" w:eastAsia="zh-CN"/>
        </w:rPr>
        <w:t xml:space="preserve">    </w:t>
      </w:r>
      <w:r>
        <w:drawing>
          <wp:inline distT="0" distB="0" distL="114300" distR="114300">
            <wp:extent cx="4572000" cy="2743200"/>
            <wp:effectExtent l="4445" t="4445" r="14605" b="14605"/>
            <wp:docPr id="36"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center"/>
        <w:rPr>
          <w:rStyle w:val="19"/>
          <w:rFonts w:hint="eastAsia" w:ascii="华文中宋" w:hAnsi="华文中宋" w:eastAsia="华文中宋" w:cstheme="minorBidi"/>
          <w:smallCaps/>
          <w:kern w:val="2"/>
          <w:sz w:val="20"/>
          <w:lang w:val="en-US" w:eastAsia="zh-CN" w:bidi="ar-SA"/>
        </w:rPr>
      </w:pPr>
      <w:r>
        <w:rPr>
          <w:rStyle w:val="19"/>
          <w:rFonts w:hint="eastAsia" w:ascii="华文中宋" w:hAnsi="华文中宋" w:eastAsia="华文中宋" w:cstheme="minorBidi"/>
          <w:smallCaps/>
          <w:kern w:val="2"/>
          <w:sz w:val="20"/>
          <w:lang w:val="en-US" w:eastAsia="zh-CN" w:bidi="ar-SA"/>
        </w:rPr>
        <w:t>图2-4  四川省专业剧场运营模式分布情况</w:t>
      </w:r>
    </w:p>
    <w:p>
      <w:pPr>
        <w:jc w:val="center"/>
        <w:rPr>
          <w:rStyle w:val="19"/>
          <w:rFonts w:hint="default" w:ascii="华文中宋" w:hAnsi="华文中宋" w:eastAsia="华文中宋" w:cstheme="minorBidi"/>
          <w:smallCaps/>
          <w:kern w:val="2"/>
          <w:sz w:val="2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color w:val="auto"/>
          <w:kern w:val="0"/>
          <w:sz w:val="32"/>
          <w:szCs w:val="32"/>
          <w:shd w:val="clear" w:color="auto" w:fill="FFFFFF"/>
        </w:rPr>
        <w:t>自主运营</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指经营者既是剧院的所有者，又是运营和管理者。</w:t>
      </w:r>
      <w:r>
        <w:rPr>
          <w:rFonts w:hint="eastAsia" w:ascii="仿宋_GB2312" w:hAnsi="仿宋_GB2312" w:eastAsia="仿宋_GB2312" w:cs="仿宋_GB2312"/>
          <w:color w:val="auto"/>
          <w:kern w:val="0"/>
          <w:sz w:val="32"/>
          <w:szCs w:val="32"/>
          <w:shd w:val="clear" w:color="auto" w:fill="FFFFFF"/>
          <w:lang w:val="en-US" w:eastAsia="zh-CN"/>
        </w:rPr>
        <w:t>这种模式一般存在于隶属政府文化部门的专业剧场，</w:t>
      </w:r>
      <w:r>
        <w:rPr>
          <w:rFonts w:hint="eastAsia" w:ascii="仿宋_GB2312" w:hAnsi="仿宋_GB2312" w:eastAsia="仿宋_GB2312" w:cs="仿宋_GB2312"/>
          <w:color w:val="auto"/>
          <w:kern w:val="0"/>
          <w:sz w:val="32"/>
          <w:szCs w:val="32"/>
          <w:shd w:val="clear" w:color="auto" w:fill="FFFFFF"/>
        </w:rPr>
        <w:t>我省的四川大剧院、成都城市音乐厅及大部分市州剧场都属于此种运营模式，约占全省剧场总数的</w:t>
      </w:r>
      <w:r>
        <w:rPr>
          <w:rFonts w:hint="eastAsia" w:ascii="仿宋_GB2312" w:hAnsi="仿宋_GB2312" w:eastAsia="仿宋_GB2312" w:cs="仿宋_GB2312"/>
          <w:color w:val="auto"/>
          <w:kern w:val="0"/>
          <w:sz w:val="32"/>
          <w:szCs w:val="32"/>
          <w:highlight w:val="none"/>
          <w:shd w:val="clear" w:color="auto" w:fill="FFFFFF"/>
        </w:rPr>
        <w:t>6</w:t>
      </w:r>
      <w:r>
        <w:rPr>
          <w:rFonts w:hint="eastAsia" w:ascii="仿宋_GB2312" w:hAnsi="仿宋_GB2312" w:eastAsia="仿宋_GB2312" w:cs="仿宋_GB2312"/>
          <w:color w:val="auto"/>
          <w:kern w:val="0"/>
          <w:sz w:val="32"/>
          <w:szCs w:val="32"/>
          <w:highlight w:val="none"/>
          <w:shd w:val="clear" w:color="auto" w:fill="FFFFFF"/>
          <w:lang w:val="en-US" w:eastAsia="zh-CN"/>
        </w:rPr>
        <w:t>7.40</w:t>
      </w:r>
      <w:r>
        <w:rPr>
          <w:rFonts w:hint="eastAsia" w:ascii="仿宋_GB2312" w:hAnsi="仿宋_GB2312" w:eastAsia="仿宋_GB2312" w:cs="仿宋_GB2312"/>
          <w:color w:val="auto"/>
          <w:kern w:val="0"/>
          <w:sz w:val="32"/>
          <w:szCs w:val="32"/>
          <w:highlight w:val="none"/>
          <w:shd w:val="clear" w:color="auto" w:fill="FFFFFF"/>
        </w:rPr>
        <w:t>%</w:t>
      </w:r>
      <w:r>
        <w:rPr>
          <w:rFonts w:hint="eastAsia" w:ascii="仿宋_GB2312" w:hAnsi="仿宋_GB2312" w:eastAsia="仿宋_GB2312" w:cs="仿宋_GB2312"/>
          <w:color w:val="auto"/>
          <w:kern w:val="0"/>
          <w:sz w:val="32"/>
          <w:szCs w:val="32"/>
          <w:shd w:val="clear" w:color="auto" w:fill="FFFFFF"/>
        </w:rPr>
        <w:t>。</w:t>
      </w:r>
      <w:r>
        <w:rPr>
          <w:rFonts w:hint="eastAsia" w:ascii="仿宋_GB2312" w:hAnsi="仿宋_GB2312" w:eastAsia="仿宋_GB2312" w:cs="仿宋_GB2312"/>
          <w:color w:val="auto"/>
          <w:kern w:val="0"/>
          <w:sz w:val="32"/>
          <w:szCs w:val="32"/>
          <w:shd w:val="clear" w:color="auto" w:fill="FFFFFF"/>
          <w:lang w:val="en-US" w:eastAsia="zh-CN"/>
        </w:rPr>
        <w:t>剧场设有专业管理部门，负责制作和引进剧目，剧场收入依靠票房收入和场地租赁费用，其中场地租赁费用是主要收入来源。</w:t>
      </w:r>
      <w:r>
        <w:rPr>
          <w:rFonts w:hint="eastAsia" w:ascii="仿宋_GB2312" w:hAnsi="仿宋_GB2312" w:eastAsia="仿宋_GB2312" w:cs="仿宋_GB2312"/>
          <w:color w:val="auto"/>
          <w:kern w:val="0"/>
          <w:sz w:val="32"/>
          <w:szCs w:val="32"/>
          <w:shd w:val="clear" w:color="auto" w:fill="FFFFFF"/>
        </w:rPr>
        <w:t>一些由大型商场与文化产业园区提供剧场场地或用房，民营演艺企业投资改建的剧场也属此类。例如成都的大喜</w:t>
      </w:r>
      <w:r>
        <w:rPr>
          <w:rFonts w:hint="eastAsia" w:ascii="仿宋_GB2312" w:hAnsi="仿宋_GB2312" w:eastAsia="仿宋_GB2312" w:cs="仿宋_GB2312"/>
          <w:color w:val="auto"/>
          <w:kern w:val="0"/>
          <w:sz w:val="32"/>
          <w:szCs w:val="32"/>
          <w:shd w:val="clear" w:color="auto" w:fill="FFFFFF"/>
          <w:lang w:val="en-US" w:eastAsia="zh-CN"/>
        </w:rPr>
        <w:t>时代剧场和大喜国际剧院</w:t>
      </w:r>
      <w:r>
        <w:rPr>
          <w:rFonts w:hint="eastAsia" w:ascii="仿宋_GB2312" w:hAnsi="仿宋_GB2312" w:eastAsia="仿宋_GB2312" w:cs="仿宋_GB2312"/>
          <w:color w:val="auto"/>
          <w:kern w:val="0"/>
          <w:sz w:val="32"/>
          <w:szCs w:val="32"/>
          <w:shd w:val="clear" w:color="auto" w:fill="FFFFFF"/>
        </w:rPr>
        <w:t>就是成都大喜时代文化传播有限公司</w:t>
      </w:r>
      <w:r>
        <w:rPr>
          <w:rFonts w:hint="eastAsia" w:ascii="仿宋_GB2312" w:hAnsi="仿宋_GB2312" w:eastAsia="仿宋_GB2312" w:cs="仿宋_GB2312"/>
          <w:color w:val="auto"/>
          <w:kern w:val="0"/>
          <w:sz w:val="32"/>
          <w:szCs w:val="32"/>
          <w:shd w:val="clear" w:color="auto" w:fill="FFFFFF"/>
          <w:lang w:val="en-US" w:eastAsia="zh-CN"/>
        </w:rPr>
        <w:t>分别</w:t>
      </w:r>
      <w:r>
        <w:rPr>
          <w:rFonts w:hint="eastAsia" w:ascii="仿宋_GB2312" w:hAnsi="仿宋_GB2312" w:eastAsia="仿宋_GB2312" w:cs="仿宋_GB2312"/>
          <w:color w:val="auto"/>
          <w:kern w:val="0"/>
          <w:sz w:val="32"/>
          <w:szCs w:val="32"/>
          <w:shd w:val="clear" w:color="auto" w:fill="FFFFFF"/>
        </w:rPr>
        <w:t>利用SM购物广场与龙湖天街购物广场提供的场地改建的剧场，由投资公司自主运营。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color w:val="auto"/>
          <w:kern w:val="0"/>
          <w:sz w:val="32"/>
          <w:szCs w:val="32"/>
          <w:shd w:val="clear" w:color="auto" w:fill="FFFFFF"/>
          <w:lang w:val="en-US" w:eastAsia="zh-CN"/>
        </w:rPr>
        <w:t>托管</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委托</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经营</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指由政府或民营企业出资建设并提供补贴，委托专业管理公司来经营管理的模式。业主不参加任何经营活动，受托专业管理公司承担剧场的经营管理任务，以组织演出、场租等为收入来源。隆昌莲峰大剧院、成都</w:t>
      </w:r>
      <w:r>
        <w:rPr>
          <w:rFonts w:hint="eastAsia" w:ascii="仿宋_GB2312" w:hAnsi="仿宋_GB2312" w:eastAsia="仿宋_GB2312" w:cs="仿宋_GB2312"/>
          <w:color w:val="auto"/>
          <w:kern w:val="0"/>
          <w:sz w:val="32"/>
          <w:szCs w:val="32"/>
          <w:shd w:val="clear" w:color="auto" w:fill="FFFFFF"/>
          <w:lang w:val="en-US" w:eastAsia="zh-CN"/>
        </w:rPr>
        <w:t>欢乐谷</w:t>
      </w:r>
      <w:r>
        <w:rPr>
          <w:rFonts w:hint="eastAsia" w:ascii="仿宋_GB2312" w:hAnsi="仿宋_GB2312" w:eastAsia="仿宋_GB2312" w:cs="仿宋_GB2312"/>
          <w:color w:val="auto"/>
          <w:kern w:val="0"/>
          <w:sz w:val="32"/>
          <w:szCs w:val="32"/>
          <w:shd w:val="clear" w:color="auto" w:fill="FFFFFF"/>
        </w:rPr>
        <w:t>华侨</w:t>
      </w:r>
      <w:r>
        <w:rPr>
          <w:rFonts w:hint="eastAsia" w:ascii="仿宋_GB2312" w:hAnsi="仿宋_GB2312" w:eastAsia="仿宋_GB2312" w:cs="仿宋_GB2312"/>
          <w:color w:val="auto"/>
          <w:kern w:val="0"/>
          <w:sz w:val="32"/>
          <w:szCs w:val="32"/>
          <w:highlight w:val="none"/>
          <w:shd w:val="clear" w:color="auto" w:fill="FFFFFF"/>
        </w:rPr>
        <w:t>城大剧院、五粮液成都演艺中心、</w:t>
      </w:r>
      <w:r>
        <w:rPr>
          <w:rFonts w:hint="eastAsia" w:ascii="仿宋_GB2312" w:hAnsi="仿宋_GB2312" w:eastAsia="仿宋_GB2312" w:cs="仿宋_GB2312"/>
          <w:color w:val="auto"/>
          <w:kern w:val="0"/>
          <w:sz w:val="32"/>
          <w:szCs w:val="32"/>
          <w:highlight w:val="none"/>
          <w:shd w:val="clear" w:color="auto" w:fill="FFFFFF"/>
          <w:lang w:val="en-US" w:eastAsia="zh-CN"/>
        </w:rPr>
        <w:t>开心麻花·环球汇</w:t>
      </w:r>
      <w:r>
        <w:rPr>
          <w:rFonts w:hint="eastAsia" w:ascii="仿宋_GB2312" w:hAnsi="仿宋_GB2312" w:eastAsia="仿宋_GB2312" w:cs="仿宋_GB2312"/>
          <w:color w:val="auto"/>
          <w:kern w:val="0"/>
          <w:sz w:val="32"/>
          <w:szCs w:val="32"/>
          <w:highlight w:val="none"/>
          <w:shd w:val="clear" w:color="auto" w:fill="FFFFFF"/>
        </w:rPr>
        <w:t>剧场等都属于这种模式，占全省剧场总数的13.</w:t>
      </w:r>
      <w:r>
        <w:rPr>
          <w:rFonts w:hint="eastAsia" w:ascii="仿宋_GB2312" w:hAnsi="仿宋_GB2312" w:eastAsia="仿宋_GB2312" w:cs="仿宋_GB2312"/>
          <w:color w:val="auto"/>
          <w:kern w:val="0"/>
          <w:sz w:val="32"/>
          <w:szCs w:val="32"/>
          <w:highlight w:val="none"/>
          <w:shd w:val="clear" w:color="auto" w:fill="FFFFFF"/>
          <w:lang w:val="en-US" w:eastAsia="zh-CN"/>
        </w:rPr>
        <w:t>30</w:t>
      </w:r>
      <w:r>
        <w:rPr>
          <w:rFonts w:hint="eastAsia" w:ascii="仿宋_GB2312" w:hAnsi="仿宋_GB2312" w:eastAsia="仿宋_GB2312" w:cs="仿宋_GB2312"/>
          <w:color w:val="auto"/>
          <w:kern w:val="0"/>
          <w:sz w:val="32"/>
          <w:szCs w:val="32"/>
          <w:highlight w:val="none"/>
          <w:shd w:val="clear" w:color="auto" w:fill="FFFFFF"/>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shd w:val="clear" w:color="auto" w:fill="FFFFFF"/>
        </w:rPr>
        <w:t>“</w:t>
      </w:r>
      <w:r>
        <w:rPr>
          <w:rFonts w:hint="eastAsia" w:ascii="仿宋_GB2312" w:hAnsi="仿宋_GB2312" w:eastAsia="仿宋_GB2312" w:cs="仿宋_GB2312"/>
          <w:color w:val="auto"/>
          <w:kern w:val="0"/>
          <w:sz w:val="32"/>
          <w:szCs w:val="32"/>
          <w:shd w:val="clear" w:color="auto" w:fill="FFFFFF"/>
          <w:lang w:val="en-US" w:eastAsia="zh-CN"/>
        </w:rPr>
        <w:t>场团</w:t>
      </w:r>
      <w:r>
        <w:rPr>
          <w:rFonts w:hint="eastAsia" w:ascii="仿宋_GB2312" w:hAnsi="仿宋_GB2312" w:eastAsia="仿宋_GB2312" w:cs="仿宋_GB2312"/>
          <w:color w:val="auto"/>
          <w:kern w:val="0"/>
          <w:sz w:val="32"/>
          <w:szCs w:val="32"/>
          <w:shd w:val="clear" w:color="auto" w:fill="FFFFFF"/>
        </w:rPr>
        <w:t>合一”</w:t>
      </w:r>
      <w:r>
        <w:rPr>
          <w:rFonts w:hint="eastAsia" w:ascii="仿宋_GB2312" w:hAnsi="仿宋_GB2312" w:eastAsia="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指剧场作为演出单位的附属运营部门，首先要满足演出单位的演出需求，空闲时间出租场地进行经营。四川歌舞大剧院、四川省川剧大剧院、成都新声剧场等剧场都属于这种经营模式，占全省剧场总数</w:t>
      </w:r>
      <w:r>
        <w:rPr>
          <w:rFonts w:hint="eastAsia" w:ascii="仿宋_GB2312" w:hAnsi="仿宋_GB2312" w:eastAsia="仿宋_GB2312" w:cs="仿宋_GB2312"/>
          <w:color w:val="auto"/>
          <w:kern w:val="0"/>
          <w:sz w:val="32"/>
          <w:szCs w:val="32"/>
          <w:highlight w:val="none"/>
          <w:shd w:val="clear" w:color="auto" w:fill="FFFFFF"/>
        </w:rPr>
        <w:t>的</w:t>
      </w:r>
      <w:r>
        <w:rPr>
          <w:rFonts w:hint="eastAsia" w:ascii="仿宋_GB2312" w:hAnsi="仿宋_GB2312" w:eastAsia="仿宋_GB2312" w:cs="仿宋_GB2312"/>
          <w:color w:val="auto"/>
          <w:kern w:val="0"/>
          <w:sz w:val="32"/>
          <w:szCs w:val="32"/>
          <w:highlight w:val="none"/>
          <w:shd w:val="clear" w:color="auto" w:fill="FFFFFF"/>
          <w:lang w:val="en-US" w:eastAsia="zh-CN"/>
        </w:rPr>
        <w:t>19.30</w:t>
      </w:r>
      <w:r>
        <w:rPr>
          <w:rFonts w:hint="eastAsia" w:ascii="仿宋_GB2312" w:hAnsi="仿宋_GB2312" w:eastAsia="仿宋_GB2312" w:cs="仿宋_GB2312"/>
          <w:color w:val="auto"/>
          <w:kern w:val="0"/>
          <w:sz w:val="32"/>
          <w:szCs w:val="32"/>
          <w:highlight w:val="none"/>
          <w:shd w:val="clear" w:color="auto" w:fill="FFFFFF"/>
        </w:rPr>
        <w:t>%。</w:t>
      </w:r>
    </w:p>
    <w:p>
      <w:pPr>
        <w:pStyle w:val="2"/>
        <w:jc w:val="center"/>
        <w:rPr>
          <w:rFonts w:hint="default" w:ascii="宋体" w:hAnsi="宋体" w:eastAsia="宋体" w:cs="宋体"/>
          <w:b/>
          <w:bCs/>
          <w:sz w:val="20"/>
          <w:szCs w:val="20"/>
          <w:lang w:val="en-US" w:eastAsia="zh-CN"/>
        </w:rPr>
      </w:pPr>
      <w:r>
        <w:rPr>
          <w:rFonts w:hint="eastAsia" w:ascii="宋体" w:hAnsi="宋体" w:eastAsia="宋体" w:cs="宋体"/>
          <w:b/>
          <w:bCs/>
          <w:color w:val="auto"/>
          <w:kern w:val="0"/>
          <w:sz w:val="20"/>
          <w:szCs w:val="20"/>
          <w:shd w:val="clear" w:color="auto" w:fill="FFFFFF"/>
          <w:lang w:val="en-US" w:eastAsia="zh-CN"/>
        </w:rPr>
        <w:t>图表2-</w:t>
      </w:r>
      <w:r>
        <w:rPr>
          <w:rFonts w:hint="eastAsia" w:ascii="宋体" w:hAnsi="宋体" w:cs="宋体"/>
          <w:b/>
          <w:bCs/>
          <w:color w:val="auto"/>
          <w:kern w:val="0"/>
          <w:sz w:val="20"/>
          <w:szCs w:val="20"/>
          <w:shd w:val="clear" w:color="auto" w:fill="FFFFFF"/>
          <w:lang w:val="en-US" w:eastAsia="zh-CN"/>
        </w:rPr>
        <w:t>5</w:t>
      </w:r>
      <w:r>
        <w:rPr>
          <w:rFonts w:hint="eastAsia" w:ascii="宋体" w:hAnsi="宋体" w:eastAsia="宋体" w:cs="宋体"/>
          <w:b/>
          <w:bCs/>
          <w:color w:val="auto"/>
          <w:kern w:val="0"/>
          <w:sz w:val="20"/>
          <w:szCs w:val="20"/>
          <w:shd w:val="clear" w:color="auto" w:fill="FFFFFF"/>
          <w:lang w:val="en-US" w:eastAsia="zh-CN"/>
        </w:rPr>
        <w:t xml:space="preserve">  2021年各市州剧场</w:t>
      </w:r>
      <w:r>
        <w:rPr>
          <w:rFonts w:hint="eastAsia" w:ascii="宋体" w:hAnsi="宋体" w:eastAsia="宋体" w:cs="宋体"/>
          <w:b/>
          <w:bCs/>
          <w:sz w:val="20"/>
          <w:szCs w:val="20"/>
          <w:lang w:val="en-US" w:eastAsia="zh-Hans"/>
        </w:rPr>
        <w:t>商业演出</w:t>
      </w:r>
      <w:r>
        <w:rPr>
          <w:rFonts w:hint="eastAsia" w:ascii="宋体" w:hAnsi="宋体" w:cs="宋体"/>
          <w:b/>
          <w:bCs/>
          <w:sz w:val="20"/>
          <w:szCs w:val="20"/>
          <w:lang w:val="en-US" w:eastAsia="zh-CN"/>
        </w:rPr>
        <w:t>活跃的剧场</w:t>
      </w:r>
    </w:p>
    <w:tbl>
      <w:tblPr>
        <w:tblStyle w:val="14"/>
        <w:tblW w:w="0" w:type="auto"/>
        <w:tblInd w:w="1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4"/>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tcPr>
          <w:p>
            <w:pPr>
              <w:pStyle w:val="2"/>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剧场名称</w:t>
            </w:r>
          </w:p>
        </w:tc>
        <w:tc>
          <w:tcPr>
            <w:tcW w:w="1432" w:type="dxa"/>
          </w:tcPr>
          <w:p>
            <w:pPr>
              <w:pStyle w:val="2"/>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14" w:type="dxa"/>
          </w:tcPr>
          <w:p>
            <w:pPr>
              <w:pStyle w:val="2"/>
              <w:jc w:val="center"/>
              <w:rPr>
                <w:rFonts w:hint="eastAsia"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Hans"/>
              </w:rPr>
              <w:t>绵州</w:t>
            </w:r>
            <w:r>
              <w:rPr>
                <w:rFonts w:hint="eastAsia" w:ascii="宋体" w:hAnsi="宋体" w:eastAsia="宋体" w:cs="宋体"/>
                <w:sz w:val="20"/>
                <w:szCs w:val="20"/>
                <w:highlight w:val="none"/>
                <w:vertAlign w:val="baseline"/>
                <w:lang w:val="en-US" w:eastAsia="zh-CN"/>
              </w:rPr>
              <w:t>大剧院</w:t>
            </w:r>
          </w:p>
        </w:tc>
        <w:tc>
          <w:tcPr>
            <w:tcW w:w="1432" w:type="dxa"/>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绵阳市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vAlign w:val="top"/>
          </w:tcPr>
          <w:p>
            <w:pPr>
              <w:pStyle w:val="2"/>
              <w:jc w:val="center"/>
              <w:rPr>
                <w:rFonts w:hint="eastAsia" w:ascii="宋体" w:hAnsi="宋体" w:eastAsia="宋体" w:cs="宋体"/>
                <w:kern w:val="2"/>
                <w:sz w:val="20"/>
                <w:szCs w:val="20"/>
                <w:highlight w:val="none"/>
                <w:vertAlign w:val="baseline"/>
                <w:lang w:val="en-US" w:eastAsia="zh-Hans" w:bidi="ar-SA"/>
              </w:rPr>
            </w:pPr>
            <w:r>
              <w:rPr>
                <w:rFonts w:hint="eastAsia" w:ascii="宋体" w:hAnsi="宋体" w:eastAsia="宋体" w:cs="宋体"/>
                <w:sz w:val="20"/>
                <w:szCs w:val="20"/>
                <w:highlight w:val="none"/>
                <w:vertAlign w:val="baseline"/>
                <w:lang w:val="en-US" w:eastAsia="zh-Hans"/>
              </w:rPr>
              <w:t>隆昌莲峰大剧院</w:t>
            </w:r>
          </w:p>
        </w:tc>
        <w:tc>
          <w:tcPr>
            <w:tcW w:w="1432" w:type="dxa"/>
            <w:vAlign w:val="top"/>
          </w:tcPr>
          <w:p>
            <w:pPr>
              <w:pStyle w:val="2"/>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kern w:val="2"/>
                <w:sz w:val="20"/>
                <w:szCs w:val="20"/>
                <w:vertAlign w:val="baseline"/>
                <w:lang w:val="en-US" w:eastAsia="zh-CN" w:bidi="ar-SA"/>
              </w:rPr>
              <w:t>内江市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vAlign w:val="top"/>
          </w:tcPr>
          <w:p>
            <w:pPr>
              <w:pStyle w:val="2"/>
              <w:jc w:val="center"/>
              <w:rPr>
                <w:rFonts w:hint="eastAsia" w:ascii="宋体" w:hAnsi="宋体" w:eastAsia="宋体" w:cs="宋体"/>
                <w:kern w:val="2"/>
                <w:sz w:val="20"/>
                <w:szCs w:val="20"/>
                <w:highlight w:val="none"/>
                <w:vertAlign w:val="baseline"/>
                <w:lang w:val="en-US" w:eastAsia="zh-Hans" w:bidi="ar-SA"/>
              </w:rPr>
            </w:pPr>
            <w:r>
              <w:rPr>
                <w:rFonts w:hint="eastAsia" w:ascii="宋体" w:hAnsi="宋体" w:eastAsia="宋体" w:cs="宋体"/>
                <w:sz w:val="20"/>
                <w:szCs w:val="20"/>
                <w:highlight w:val="none"/>
                <w:vertAlign w:val="baseline"/>
                <w:lang w:val="en-US" w:eastAsia="zh-Hans"/>
              </w:rPr>
              <w:t>资中县苌弘大剧院</w:t>
            </w:r>
          </w:p>
        </w:tc>
        <w:tc>
          <w:tcPr>
            <w:tcW w:w="1432" w:type="dxa"/>
            <w:vAlign w:val="top"/>
          </w:tcPr>
          <w:p>
            <w:pPr>
              <w:pStyle w:val="2"/>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CN"/>
              </w:rPr>
              <w:t>内江市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vAlign w:val="top"/>
          </w:tcPr>
          <w:p>
            <w:pPr>
              <w:pStyle w:val="2"/>
              <w:jc w:val="center"/>
              <w:rPr>
                <w:rFonts w:hint="eastAsia" w:ascii="宋体" w:hAnsi="宋体" w:eastAsia="宋体" w:cs="宋体"/>
                <w:kern w:val="2"/>
                <w:sz w:val="20"/>
                <w:szCs w:val="20"/>
                <w:highlight w:val="none"/>
                <w:vertAlign w:val="baseline"/>
                <w:lang w:val="en-US" w:eastAsia="zh-Hans" w:bidi="ar-SA"/>
              </w:rPr>
            </w:pPr>
            <w:r>
              <w:rPr>
                <w:rFonts w:hint="eastAsia" w:ascii="宋体" w:hAnsi="宋体" w:eastAsia="宋体" w:cs="宋体"/>
                <w:sz w:val="20"/>
                <w:szCs w:val="20"/>
                <w:highlight w:val="none"/>
                <w:vertAlign w:val="baseline"/>
                <w:lang w:val="en-US" w:eastAsia="zh-Hans"/>
              </w:rPr>
              <w:t>德阳市艺术宫剧场</w:t>
            </w:r>
          </w:p>
        </w:tc>
        <w:tc>
          <w:tcPr>
            <w:tcW w:w="1432" w:type="dxa"/>
            <w:vAlign w:val="top"/>
          </w:tcPr>
          <w:p>
            <w:pPr>
              <w:pStyle w:val="2"/>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kern w:val="2"/>
                <w:sz w:val="20"/>
                <w:szCs w:val="20"/>
                <w:vertAlign w:val="baseline"/>
                <w:lang w:val="en-US" w:eastAsia="zh-CN" w:bidi="ar-SA"/>
              </w:rPr>
              <w:t>德阳市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vAlign w:val="top"/>
          </w:tcPr>
          <w:p>
            <w:pPr>
              <w:pStyle w:val="2"/>
              <w:jc w:val="center"/>
              <w:rPr>
                <w:rFonts w:hint="eastAsia" w:ascii="宋体" w:hAnsi="宋体" w:eastAsia="宋体" w:cs="宋体"/>
                <w:kern w:val="2"/>
                <w:sz w:val="20"/>
                <w:szCs w:val="20"/>
                <w:highlight w:val="none"/>
                <w:vertAlign w:val="baseline"/>
                <w:lang w:val="en-US" w:eastAsia="zh-Hans" w:bidi="ar-SA"/>
              </w:rPr>
            </w:pPr>
            <w:r>
              <w:rPr>
                <w:rFonts w:hint="eastAsia" w:ascii="宋体" w:hAnsi="宋体" w:eastAsia="宋体" w:cs="宋体"/>
                <w:sz w:val="20"/>
                <w:szCs w:val="20"/>
                <w:highlight w:val="none"/>
                <w:vertAlign w:val="baseline"/>
                <w:lang w:val="en-US" w:eastAsia="zh-Hans"/>
              </w:rPr>
              <w:t>凉山金鹰大剧院</w:t>
            </w:r>
          </w:p>
        </w:tc>
        <w:tc>
          <w:tcPr>
            <w:tcW w:w="1432" w:type="dxa"/>
            <w:vAlign w:val="top"/>
          </w:tcPr>
          <w:p>
            <w:pPr>
              <w:pStyle w:val="2"/>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kern w:val="2"/>
                <w:sz w:val="20"/>
                <w:szCs w:val="20"/>
                <w:vertAlign w:val="baseline"/>
                <w:lang w:val="en-US" w:eastAsia="zh-CN" w:bidi="ar-SA"/>
              </w:rPr>
              <w:t>凉山州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tcPr>
          <w:p>
            <w:pPr>
              <w:pStyle w:val="2"/>
              <w:jc w:val="center"/>
              <w:rPr>
                <w:rFonts w:hint="eastAsia" w:ascii="宋体" w:hAnsi="宋体" w:eastAsia="宋体" w:cs="宋体"/>
                <w:sz w:val="20"/>
                <w:szCs w:val="20"/>
                <w:highlight w:val="none"/>
                <w:vertAlign w:val="baseline"/>
                <w:lang w:val="en-US" w:eastAsia="zh-Hans"/>
              </w:rPr>
            </w:pPr>
            <w:r>
              <w:rPr>
                <w:rFonts w:hint="eastAsia" w:ascii="宋体" w:hAnsi="宋体" w:eastAsia="宋体" w:cs="宋体"/>
                <w:sz w:val="20"/>
                <w:szCs w:val="20"/>
                <w:highlight w:val="none"/>
                <w:vertAlign w:val="baseline"/>
                <w:lang w:val="en-US" w:eastAsia="zh-Hans"/>
              </w:rPr>
              <w:t>射洪艺术剧院</w:t>
            </w:r>
          </w:p>
        </w:tc>
        <w:tc>
          <w:tcPr>
            <w:tcW w:w="1432" w:type="dxa"/>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遂宁市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tcPr>
          <w:p>
            <w:pPr>
              <w:pStyle w:val="2"/>
              <w:jc w:val="center"/>
              <w:rPr>
                <w:rFonts w:hint="eastAsia" w:ascii="宋体" w:hAnsi="宋体" w:eastAsia="宋体" w:cs="宋体"/>
                <w:sz w:val="20"/>
                <w:szCs w:val="20"/>
                <w:highlight w:val="none"/>
                <w:vertAlign w:val="baseline"/>
                <w:lang w:val="en-US" w:eastAsia="zh-Hans"/>
              </w:rPr>
            </w:pPr>
            <w:r>
              <w:rPr>
                <w:rFonts w:hint="eastAsia" w:ascii="宋体" w:hAnsi="宋体" w:eastAsia="宋体" w:cs="宋体"/>
                <w:sz w:val="20"/>
                <w:szCs w:val="20"/>
                <w:highlight w:val="none"/>
                <w:vertAlign w:val="baseline"/>
                <w:lang w:val="en-US" w:eastAsia="zh-Hans"/>
              </w:rPr>
              <w:t>遂宁市文化中心小剧场</w:t>
            </w:r>
          </w:p>
        </w:tc>
        <w:tc>
          <w:tcPr>
            <w:tcW w:w="1432" w:type="dxa"/>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遂宁市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tcPr>
          <w:p>
            <w:pPr>
              <w:pStyle w:val="2"/>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广元大剧院</w:t>
            </w:r>
          </w:p>
        </w:tc>
        <w:tc>
          <w:tcPr>
            <w:tcW w:w="1432" w:type="dxa"/>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广元市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tcPr>
          <w:p>
            <w:pPr>
              <w:pStyle w:val="2"/>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眉山会展中心剧院</w:t>
            </w:r>
          </w:p>
        </w:tc>
        <w:tc>
          <w:tcPr>
            <w:tcW w:w="1432" w:type="dxa"/>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眉山市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4" w:type="dxa"/>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南充大剧院</w:t>
            </w:r>
          </w:p>
        </w:tc>
        <w:tc>
          <w:tcPr>
            <w:tcW w:w="1432" w:type="dxa"/>
            <w:vAlign w:val="top"/>
          </w:tcPr>
          <w:p>
            <w:pPr>
              <w:pStyle w:val="2"/>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kern w:val="2"/>
                <w:sz w:val="20"/>
                <w:szCs w:val="20"/>
                <w:vertAlign w:val="baseline"/>
                <w:lang w:val="en-US" w:eastAsia="zh-CN" w:bidi="ar-SA"/>
              </w:rPr>
              <w:t>南充市</w:t>
            </w:r>
          </w:p>
        </w:tc>
      </w:tr>
    </w:tbl>
    <w:p>
      <w:pPr>
        <w:pStyle w:val="2"/>
        <w:rPr>
          <w:rFonts w:hint="eastAsia"/>
        </w:rPr>
      </w:pPr>
    </w:p>
    <w:p>
      <w:pPr>
        <w:pStyle w:val="2"/>
        <w:numPr>
          <w:ilvl w:val="0"/>
          <w:numId w:val="0"/>
        </w:numPr>
        <w:ind w:leftChars="0"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color w:val="auto"/>
          <w:kern w:val="0"/>
          <w:sz w:val="32"/>
          <w:szCs w:val="32"/>
          <w:shd w:val="clear" w:color="auto" w:fill="FFFFFF"/>
          <w:lang w:val="en-US" w:eastAsia="zh-CN"/>
        </w:rPr>
        <w:t>二、四川省典型演出场所案例</w:t>
      </w:r>
    </w:p>
    <w:p>
      <w:pPr>
        <w:pStyle w:val="2"/>
        <w:numPr>
          <w:ilvl w:val="0"/>
          <w:numId w:val="0"/>
        </w:numPr>
        <w:ind w:firstLine="643" w:firstLineChars="200"/>
        <w:rPr>
          <w:rFonts w:hint="eastAsia" w:ascii="仿宋_GB2312" w:hAnsi="仿宋_GB2312" w:eastAsia="仿宋_GB2312" w:cs="仿宋_GB2312"/>
          <w:b/>
          <w:bCs/>
          <w:color w:val="auto"/>
          <w:kern w:val="0"/>
          <w:sz w:val="32"/>
          <w:szCs w:val="32"/>
          <w:shd w:val="clear" w:color="auto" w:fill="FFFFFF"/>
          <w:lang w:val="en-US" w:eastAsia="zh-CN"/>
        </w:rPr>
      </w:pPr>
      <w:r>
        <w:rPr>
          <w:rFonts w:hint="eastAsia" w:ascii="仿宋_GB2312" w:hAnsi="仿宋_GB2312" w:eastAsia="仿宋_GB2312" w:cs="仿宋_GB2312"/>
          <w:b/>
          <w:bCs/>
          <w:color w:val="auto"/>
          <w:kern w:val="0"/>
          <w:sz w:val="32"/>
          <w:szCs w:val="32"/>
          <w:shd w:val="clear" w:color="auto" w:fill="FFFFFF"/>
          <w:lang w:val="en-US" w:eastAsia="zh-CN"/>
        </w:rPr>
        <w:t>（一）特大型综合性国有剧院代表——四川大剧院</w:t>
      </w:r>
    </w:p>
    <w:p>
      <w:pPr>
        <w:pStyle w:val="2"/>
        <w:numPr>
          <w:ilvl w:val="0"/>
          <w:numId w:val="0"/>
        </w:numPr>
        <w:ind w:firstLine="640"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四川大剧院地处天府广场核心区，前身是1987年建成并投入使用的四川省锦城艺术宫，于2019年9月正式投入使用。具备接待世界优秀艺术表演团体演出的条件和能力，可供大型歌剧、话剧、音乐剧、舞剧、音乐会、戏曲、演唱会、大型综合性文艺演出及中小型各类演出等。</w:t>
      </w:r>
    </w:p>
    <w:p>
      <w:pPr>
        <w:numPr>
          <w:ilvl w:val="0"/>
          <w:numId w:val="2"/>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场地概况</w:t>
      </w:r>
    </w:p>
    <w:p>
      <w:pPr>
        <w:pStyle w:val="2"/>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四川大剧院总建筑面积59000平方米，拥有1601座大剧场，450座多功能小剧场，近400个车位的地下停车场和其它配套用房。</w:t>
      </w:r>
    </w:p>
    <w:p>
      <w:pPr>
        <w:pStyle w:val="2"/>
        <w:numPr>
          <w:ilvl w:val="0"/>
          <w:numId w:val="2"/>
        </w:numPr>
        <w:ind w:left="0" w:leftChars="0"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2021年运营情况</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2021年，四川大剧院完成合作、自办18个演出项目，共计场次36场，大型活动4场，共计覆盖观众十万余。中央歌剧舞剧院、宁波市演艺集团的舞蹈《花木兰》，濮存昕、黄宏、郭达主演的“听见美——中外经典戏剧朗诵会”，江苏昆剧院孔爱萍、石小梅等精华版《牡丹亭》，爆款音乐剧《献给阿尔吉侬的花束》，经典话剧《无人生还》，年度火爆话剧《如梦之梦》，经典话剧《恋爱的犀牛》《死亡陷阱》、备受期待的舞剧《朱鹮》等品质上乘、口碑优良的作品在四川大剧院上演，为低迷的四川演出市场注入新鲜气息。特别是6月18日至20日的现象级话剧央华版《如梦之梦》在四川大剧院落地演出，成为全国热议的文化事件，吸引了来自全国各地数万名观众和粉丝，整体拉动文化旅游相关消费3亿元以上。</w:t>
      </w:r>
    </w:p>
    <w:p>
      <w:pPr>
        <w:pStyle w:val="2"/>
        <w:numPr>
          <w:ilvl w:val="0"/>
          <w:numId w:val="0"/>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color w:val="auto"/>
          <w:kern w:val="0"/>
          <w:sz w:val="32"/>
          <w:szCs w:val="32"/>
          <w:shd w:val="clear" w:color="auto" w:fill="FFFFFF"/>
          <w:lang w:val="en-US" w:eastAsia="zh-CN"/>
        </w:rPr>
        <w:t>（二）民营剧院代表——成都国际剧院/大喜时代剧场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大喜时代文化传播有限公司，自主运营着大喜时代·成都国际剧院和大喜时代剧场两个剧场，整合国内外优秀文化演出资源，以运营儿童剧为轴心，倾力打造西南亲子娱乐先锋品牌。不仅汇聚国内外优质版权自营推广，同时拥有本土高品质创作团队自制IP剧目。</w:t>
      </w:r>
    </w:p>
    <w:p>
      <w:pPr>
        <w:numPr>
          <w:ilvl w:val="0"/>
          <w:numId w:val="3"/>
        </w:numPr>
        <w:ind w:firstLine="643" w:firstLineChars="200"/>
        <w:rPr>
          <w:rFonts w:hint="eastAsia" w:ascii="仿宋_GB2312" w:hAnsi="仿宋_GB2312" w:eastAsia="仿宋_GB2312" w:cs="仿宋_GB2312"/>
          <w:b/>
          <w:bCs/>
          <w:color w:val="auto"/>
          <w:kern w:val="0"/>
          <w:sz w:val="32"/>
          <w:szCs w:val="32"/>
          <w:shd w:val="clear" w:color="auto" w:fill="FFFFFF"/>
          <w:lang w:val="en-US" w:eastAsia="zh-CN"/>
        </w:rPr>
      </w:pPr>
      <w:r>
        <w:rPr>
          <w:rFonts w:hint="eastAsia" w:ascii="仿宋_GB2312" w:hAnsi="仿宋_GB2312" w:eastAsia="仿宋_GB2312" w:cs="仿宋_GB2312"/>
          <w:b/>
          <w:bCs/>
          <w:color w:val="auto"/>
          <w:kern w:val="0"/>
          <w:sz w:val="32"/>
          <w:szCs w:val="32"/>
          <w:shd w:val="clear" w:color="auto" w:fill="FFFFFF"/>
          <w:lang w:val="en-US" w:eastAsia="zh-CN"/>
        </w:rPr>
        <w:t>场地概况</w:t>
      </w:r>
    </w:p>
    <w:p>
      <w:pPr>
        <w:pStyle w:val="2"/>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成都国际剧院位于龙湖滨江天街3楼，总占地1820平方米，共836座，并配备3个后台休息室。</w:t>
      </w:r>
    </w:p>
    <w:p>
      <w:pPr>
        <w:pStyle w:val="2"/>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大喜时代剧场位于成都成华区的SM广场，是目前成都商业综合体中面积最大、容纳人数最多的中型剧场。面积1200平方米，最大容纳座位数量578座。</w:t>
      </w:r>
    </w:p>
    <w:p>
      <w:pPr>
        <w:numPr>
          <w:ilvl w:val="0"/>
          <w:numId w:val="3"/>
        </w:numPr>
        <w:ind w:left="0" w:leftChars="0"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2021年运营情况</w:t>
      </w:r>
    </w:p>
    <w:p>
      <w:pPr>
        <w:pStyle w:val="2"/>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2021年，大喜时代引进《花木兰》《沙湾往事》《被嫌弃的松子的一生》等名导名作超过50部，年票房收入260万元，年演出量达到150场，其中在自主营运的两个剧场演出排期近80%。</w:t>
      </w:r>
      <w:r>
        <w:rPr>
          <w:rFonts w:hint="eastAsia" w:ascii="仿宋_GB2312" w:hAnsi="仿宋_GB2312" w:eastAsia="仿宋_GB2312" w:cs="仿宋_GB2312"/>
          <w:b w:val="0"/>
          <w:bCs w:val="0"/>
          <w:sz w:val="32"/>
          <w:szCs w:val="32"/>
          <w:lang w:val="en-US" w:eastAsia="zh-CN"/>
        </w:rPr>
        <w:t>原创儿童剧目IP孵化是</w:t>
      </w:r>
      <w:r>
        <w:rPr>
          <w:rFonts w:hint="eastAsia" w:ascii="仿宋_GB2312" w:hAnsi="仿宋_GB2312" w:eastAsia="仿宋_GB2312" w:cs="仿宋_GB2312"/>
          <w:sz w:val="32"/>
          <w:szCs w:val="32"/>
          <w:lang w:val="en-US" w:eastAsia="zh-CN"/>
        </w:rPr>
        <w:t>大喜时代的主营特色项目，已经出品12部不同题材的儿童剧目，如《真假美猴王》《安妮的侏罗纪公园》《白雪公主》《哪吒》《阿拉丁神灯》等。大喜时代的两个剧场将最受欢迎、最热门的儿童剧目集中在4-6月进行演出，开展为期三个月的欢乐儿童季，为小朋友们送去欢乐的同时为商圈带来可观的家庭板块收入。</w:t>
      </w:r>
    </w:p>
    <w:p>
      <w:pPr>
        <w:pStyle w:val="2"/>
        <w:numPr>
          <w:ilvl w:val="0"/>
          <w:numId w:val="0"/>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color w:val="auto"/>
          <w:kern w:val="0"/>
          <w:sz w:val="32"/>
          <w:szCs w:val="32"/>
          <w:shd w:val="clear" w:color="auto" w:fill="FFFFFF"/>
          <w:lang w:val="en-US" w:eastAsia="zh-CN"/>
        </w:rPr>
        <w:t>（三）托管剧院代表——莲峰大剧院</w:t>
      </w:r>
    </w:p>
    <w:p>
      <w:pPr>
        <w:pStyle w:val="2"/>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莲峰大剧院的业主单位是隆昌市文化广播旅游局，委托隆昌莲峰文化艺术发展有限公司负责运营管理。该公司是一家以剧院管理、艺术教育、剧目创作和演出经纪为主的文化艺术机构，实行“场团合一”的运营模式。</w:t>
      </w:r>
    </w:p>
    <w:p>
      <w:pPr>
        <w:numPr>
          <w:ilvl w:val="0"/>
          <w:numId w:val="4"/>
        </w:numPr>
        <w:ind w:firstLine="643" w:firstLineChars="200"/>
        <w:rPr>
          <w:rFonts w:hint="eastAsia" w:ascii="仿宋_GB2312" w:hAnsi="仿宋_GB2312" w:eastAsia="仿宋_GB2312" w:cs="仿宋_GB2312"/>
          <w:b/>
          <w:bCs/>
          <w:color w:val="auto"/>
          <w:kern w:val="0"/>
          <w:sz w:val="32"/>
          <w:szCs w:val="32"/>
          <w:shd w:val="clear" w:color="auto" w:fill="FFFFFF"/>
          <w:lang w:val="en-US" w:eastAsia="zh-CN"/>
        </w:rPr>
      </w:pPr>
      <w:r>
        <w:rPr>
          <w:rFonts w:hint="eastAsia" w:ascii="仿宋_GB2312" w:hAnsi="仿宋_GB2312" w:eastAsia="仿宋_GB2312" w:cs="仿宋_GB2312"/>
          <w:b/>
          <w:bCs/>
          <w:color w:val="auto"/>
          <w:kern w:val="0"/>
          <w:sz w:val="32"/>
          <w:szCs w:val="32"/>
          <w:shd w:val="clear" w:color="auto" w:fill="FFFFFF"/>
          <w:lang w:val="en-US" w:eastAsia="zh-CN"/>
        </w:rPr>
        <w:t>场地概况</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位于隆昌市，紧邻古宇湖，建筑面积22540平方米，包括1个近1200座的大型剧场、1个小型剧场、4个电影放映厅及其他配套用房。</w:t>
      </w:r>
    </w:p>
    <w:p>
      <w:pPr>
        <w:pStyle w:val="2"/>
        <w:numPr>
          <w:ilvl w:val="0"/>
          <w:numId w:val="4"/>
        </w:numPr>
        <w:ind w:left="0" w:leftChars="0" w:firstLine="643" w:firstLineChars="20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2021年运营情况</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剧院建成第一年（2018年）共计完成演出95场，接待国内外演出团体15批次，国内外艺术家500余人，完成与隆昌市政府签订的各项考核指标。</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在受疫情影响的2021年，也成功引进了舞剧《沙湾往事》、杂技剧《金沙江畔》等20多部优秀剧目在莲峰大剧院演出。</w:t>
      </w:r>
    </w:p>
    <w:p>
      <w:pPr>
        <w:pStyle w:val="2"/>
        <w:numPr>
          <w:ilvl w:val="0"/>
          <w:numId w:val="0"/>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color w:val="auto"/>
          <w:kern w:val="0"/>
          <w:sz w:val="32"/>
          <w:szCs w:val="32"/>
          <w:shd w:val="clear" w:color="auto" w:fill="FFFFFF"/>
          <w:lang w:val="en-US" w:eastAsia="zh-CN"/>
        </w:rPr>
        <w:t>（四）LIVEHOUSE代表——CH8冇独有现场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Ch8冇独空间成立于2018年，经过不到4年的发展，形成了以LIVEHOUSE展演空间连锁经营为主体，围绕独立音乐行业多业务线并行延伸的音乐文化公司。</w:t>
      </w:r>
    </w:p>
    <w:p>
      <w:pPr>
        <w:pStyle w:val="2"/>
        <w:numPr>
          <w:ilvl w:val="0"/>
          <w:numId w:val="5"/>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场地概况</w:t>
      </w:r>
    </w:p>
    <w:p>
      <w:pPr>
        <w:ind w:firstLine="640" w:firstLineChars="200"/>
        <w:rPr>
          <w:rFonts w:hint="eastAsia" w:ascii="宋体" w:hAnsi="宋体" w:eastAsia="宋体" w:cs="宋体"/>
          <w:sz w:val="20"/>
          <w:szCs w:val="20"/>
          <w:lang w:val="en-US" w:eastAsia="zh-CN"/>
        </w:rPr>
      </w:pPr>
      <w:r>
        <w:rPr>
          <w:rFonts w:hint="eastAsia" w:ascii="仿宋_GB2312" w:hAnsi="仿宋_GB2312" w:eastAsia="仿宋_GB2312" w:cs="仿宋_GB2312"/>
          <w:sz w:val="32"/>
          <w:szCs w:val="32"/>
          <w:lang w:val="en-US" w:eastAsia="zh-CN"/>
        </w:rPr>
        <w:t>公司现有livehouse演出空间2家，主要服务乐队、说唱、流行、民谣等音乐类型的音乐人。CH8冇独（东郊店）属于小型LIVEHOUSE场地，核载观众数为350人；CH8冇独（完美店）属于中型LIVE场地，现场核载观众数为1000人，坐席可布置350个。</w:t>
      </w:r>
    </w:p>
    <w:p>
      <w:pPr>
        <w:numPr>
          <w:ilvl w:val="0"/>
          <w:numId w:val="5"/>
        </w:numPr>
        <w:ind w:left="0" w:leftChars="0"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2021年运营情况</w:t>
      </w:r>
    </w:p>
    <w:p>
      <w:pPr>
        <w:ind w:firstLine="640" w:firstLineChars="200"/>
        <w:rPr>
          <w:rFonts w:hint="eastAsia" w:ascii="黑体" w:hAnsi="黑体" w:eastAsia="黑体" w:cs="黑体"/>
          <w:b w:val="0"/>
          <w:bCs w:val="0"/>
          <w:color w:val="auto"/>
          <w:kern w:val="0"/>
          <w:sz w:val="32"/>
          <w:szCs w:val="32"/>
          <w:lang w:val="en-US" w:eastAsia="zh-CN"/>
        </w:rPr>
      </w:pPr>
      <w:r>
        <w:rPr>
          <w:rFonts w:hint="eastAsia" w:ascii="仿宋_GB2312" w:hAnsi="仿宋_GB2312" w:eastAsia="仿宋_GB2312" w:cs="仿宋_GB2312"/>
          <w:sz w:val="32"/>
          <w:szCs w:val="32"/>
          <w:lang w:val="en-US" w:eastAsia="zh-CN"/>
        </w:rPr>
        <w:t>主要围绕独立音乐人，提供专业的演出服务，把大型演唱会体量缩小，为成长期的中小音乐人创造可以演出的专业演出场所环境，进行全国巡演。专门针对这方面的市场，后期进行场馆复制，努力做到全国连锁，为音乐人提供一站式的标准化服务，同时进行技术工程师团队的建设，提高演出制作能力及服务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textAlignment w:val="auto"/>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（五）话剧类剧场代表——成都繁星戏剧村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eastAsia"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val="0"/>
          <w:bCs w:val="0"/>
          <w:color w:val="auto"/>
          <w:kern w:val="0"/>
          <w:sz w:val="32"/>
          <w:szCs w:val="32"/>
          <w:lang w:val="en-US" w:eastAsia="zh-CN"/>
        </w:rPr>
        <w:t>成都繁星戏剧村于2020年底开始运营，开创了中国西南地区首个中小剧场戏剧产业集群模式，填补了成都市多剧场、常态化、驻场演出的空白。</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43" w:firstLineChars="200"/>
        <w:textAlignment w:val="auto"/>
        <w:rPr>
          <w:rFonts w:hint="default"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场地概况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eastAsia"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val="0"/>
          <w:bCs w:val="0"/>
          <w:color w:val="auto"/>
          <w:kern w:val="0"/>
          <w:sz w:val="32"/>
          <w:szCs w:val="32"/>
          <w:lang w:val="en-US" w:eastAsia="zh-CN"/>
        </w:rPr>
        <w:t>坐落于成都市成华区东郊记忆，以炉剧场、来剧场、童剧场、OFF STAGE Live四大主题剧场空间为核心开展运营，同时拥有戏外空间等多个开放式可变空间，能够满足美术展览、文创衍生品售卖、书吧咖啡、品牌发布等多功能使用需求，丰富市民游客文化消费。</w:t>
      </w:r>
    </w:p>
    <w:p>
      <w:pPr>
        <w:numPr>
          <w:ilvl w:val="0"/>
          <w:numId w:val="0"/>
        </w:numPr>
        <w:ind w:leftChars="200" w:firstLine="321" w:firstLineChars="100"/>
        <w:rPr>
          <w:rFonts w:hint="eastAsia"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bCs/>
          <w:sz w:val="32"/>
          <w:szCs w:val="32"/>
          <w:lang w:val="en-US" w:eastAsia="zh-CN"/>
        </w:rPr>
        <w:t>2. 2021年运营情况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eastAsia"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val="0"/>
          <w:bCs w:val="0"/>
          <w:color w:val="auto"/>
          <w:kern w:val="0"/>
          <w:sz w:val="32"/>
          <w:szCs w:val="32"/>
          <w:lang w:val="en-US" w:eastAsia="zh-CN"/>
        </w:rPr>
        <w:t>2021年，成都繁星戏剧村为成都市民带来共计499场文化活动，其中戏剧演出200场、文化活动59场、线上放映240场。与此同时，繁星戏剧村作为行业中的领军企业，率先尝试跨界艺术融合，特别设置《告别薇安》与OFF STAGE戏剧厂牌潮流艺术展，在2021年期间共展出122天，吸引观众近2万人，共有上百家媒体进行报道，电视采访10余家，辐射人群超1000万，送达人群近200万。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eastAsia" w:ascii="仿宋_GB2312" w:hAnsi="仿宋_GB2312" w:eastAsia="仿宋_GB2312" w:cs="仿宋_GB2312"/>
          <w:color w:val="auto"/>
          <w:kern w:val="0"/>
          <w:sz w:val="32"/>
          <w:szCs w:val="32"/>
          <w:shd w:val="clear" w:color="auto" w:fill="FFFFFF"/>
        </w:rPr>
      </w:pPr>
      <w:r>
        <w:rPr>
          <w:rFonts w:hint="eastAsia" w:ascii="黑体" w:hAnsi="黑体" w:eastAsia="黑体" w:cs="黑体"/>
          <w:b w:val="0"/>
          <w:bCs w:val="0"/>
          <w:color w:val="auto"/>
          <w:kern w:val="0"/>
          <w:sz w:val="32"/>
          <w:szCs w:val="32"/>
          <w:lang w:val="en-US" w:eastAsia="zh-CN"/>
        </w:rPr>
        <w:t>三、</w:t>
      </w:r>
      <w:r>
        <w:rPr>
          <w:rFonts w:hint="eastAsia" w:ascii="黑体" w:hAnsi="黑体" w:eastAsia="黑体" w:cs="黑体"/>
          <w:b w:val="0"/>
          <w:bCs w:val="0"/>
          <w:color w:val="auto"/>
          <w:kern w:val="0"/>
          <w:sz w:val="32"/>
          <w:szCs w:val="32"/>
        </w:rPr>
        <w:t>四川</w:t>
      </w:r>
      <w:r>
        <w:rPr>
          <w:rFonts w:hint="eastAsia" w:ascii="黑体" w:hAnsi="黑体" w:eastAsia="黑体" w:cs="黑体"/>
          <w:b w:val="0"/>
          <w:bCs w:val="0"/>
          <w:color w:val="auto"/>
          <w:kern w:val="0"/>
          <w:sz w:val="32"/>
          <w:szCs w:val="32"/>
          <w:lang w:val="en-US" w:eastAsia="zh-CN"/>
        </w:rPr>
        <w:t>省演出场所发展面临的问题</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专业剧场为例，从经营状况来看约80%剧院经营不善，未形成专业演出场所应有的地域辐射能力和优质演艺内容的持续供给能力，严重依赖政府资金扶持和补贴，事实上难以自负盈亏，未能形成稳定持续的经营模式与发展道路。剧院空间利用率、公共服务水平、社会效益发挥严重不足，核心原因是剧院本身经营问题导致的自然结果，难以稳定持续地供给高质量文化服务产品，难以有效地吸引人流、沉淀用户、服务群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（一）资源分布失衡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根据2015年的数据，中国平均每百万人拥有专业剧场0.64个，2019年数字来到0.87个。从表面看，2021年我省平均每百万人拥有专业剧场1.61个，待所有在建或拟建剧场全部投入运营，这个数字还将达到1.8个，远超全国平均水平。然而如果将省会成都与其他市州分开计算，每百万人拥有剧场数分别为3.3个和1.04个，差距明显。</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很容易观察到</w:t>
      </w:r>
      <w:r>
        <w:rPr>
          <w:rFonts w:hint="eastAsia" w:ascii="仿宋_GB2312" w:hAnsi="仿宋_GB2312" w:eastAsia="仿宋_GB2312" w:cs="仿宋_GB2312"/>
          <w:color w:val="auto"/>
          <w:sz w:val="32"/>
          <w:szCs w:val="32"/>
        </w:rPr>
        <w:t>四川全省剧场存在发展不平衡、布局不合理的状况。</w:t>
      </w:r>
      <w:r>
        <w:rPr>
          <w:rFonts w:hint="eastAsia" w:ascii="仿宋_GB2312" w:hAnsi="仿宋_GB2312" w:eastAsia="仿宋_GB2312" w:cs="仿宋_GB2312"/>
          <w:color w:val="auto"/>
          <w:kern w:val="0"/>
          <w:sz w:val="32"/>
          <w:szCs w:val="32"/>
        </w:rPr>
        <w:t>即使是在剧场发展最繁荣的成都市，建设得较好的剧场也主要集中在市中心和东南部，</w:t>
      </w:r>
      <w:r>
        <w:rPr>
          <w:rFonts w:hint="eastAsia" w:ascii="仿宋_GB2312" w:hAnsi="仿宋_GB2312" w:eastAsia="仿宋_GB2312" w:cs="仿宋_GB2312"/>
          <w:color w:val="auto"/>
          <w:kern w:val="0"/>
          <w:sz w:val="32"/>
          <w:szCs w:val="32"/>
          <w:lang w:val="en-US" w:eastAsia="zh-CN"/>
        </w:rPr>
        <w:t>成都的西方</w:t>
      </w:r>
      <w:r>
        <w:rPr>
          <w:rFonts w:hint="eastAsia" w:ascii="仿宋_GB2312" w:hAnsi="仿宋_GB2312" w:eastAsia="仿宋_GB2312" w:cs="仿宋_GB2312"/>
          <w:color w:val="auto"/>
          <w:kern w:val="0"/>
          <w:sz w:val="32"/>
          <w:szCs w:val="32"/>
        </w:rPr>
        <w:t>仅有新声剧场</w:t>
      </w:r>
      <w:r>
        <w:rPr>
          <w:rFonts w:hint="eastAsia" w:ascii="仿宋_GB2312" w:hAnsi="仿宋_GB2312" w:eastAsia="仿宋_GB2312" w:cs="仿宋_GB2312"/>
          <w:color w:val="auto"/>
          <w:kern w:val="0"/>
          <w:sz w:val="32"/>
          <w:szCs w:val="32"/>
          <w:lang w:val="en-US" w:eastAsia="zh-CN"/>
        </w:rPr>
        <w:t>和成都欢乐谷</w:t>
      </w:r>
      <w:r>
        <w:rPr>
          <w:rFonts w:hint="eastAsia" w:ascii="仿宋_GB2312" w:hAnsi="仿宋_GB2312" w:eastAsia="仿宋_GB2312" w:cs="仿宋_GB2312"/>
          <w:color w:val="auto"/>
          <w:kern w:val="0"/>
          <w:sz w:val="32"/>
          <w:szCs w:val="32"/>
        </w:rPr>
        <w:t>华侨城</w:t>
      </w:r>
      <w:r>
        <w:rPr>
          <w:rFonts w:hint="eastAsia" w:ascii="仿宋_GB2312" w:hAnsi="仿宋_GB2312" w:eastAsia="仿宋_GB2312" w:cs="仿宋_GB2312"/>
          <w:color w:val="auto"/>
          <w:kern w:val="0"/>
          <w:sz w:val="32"/>
          <w:szCs w:val="32"/>
          <w:lang w:val="en-US" w:eastAsia="zh-CN"/>
        </w:rPr>
        <w:t>大剧院</w:t>
      </w:r>
      <w:r>
        <w:rPr>
          <w:rFonts w:hint="eastAsia" w:ascii="仿宋_GB2312" w:hAnsi="仿宋_GB2312" w:eastAsia="仿宋_GB2312" w:cs="仿宋_GB2312"/>
          <w:color w:val="auto"/>
          <w:kern w:val="0"/>
          <w:sz w:val="32"/>
          <w:szCs w:val="32"/>
        </w:rPr>
        <w:t>2家</w:t>
      </w:r>
      <w:r>
        <w:rPr>
          <w:rFonts w:hint="eastAsia" w:ascii="仿宋_GB2312" w:hAnsi="仿宋_GB2312" w:eastAsia="仿宋_GB2312" w:cs="仿宋_GB2312"/>
          <w:color w:val="auto"/>
          <w:kern w:val="0"/>
          <w:sz w:val="32"/>
          <w:szCs w:val="32"/>
          <w:lang w:val="en-US" w:eastAsia="zh-CN"/>
        </w:rPr>
        <w:t>专业剧院还在运作，而北部</w:t>
      </w:r>
      <w:r>
        <w:rPr>
          <w:rFonts w:hint="eastAsia" w:ascii="仿宋_GB2312" w:hAnsi="仿宋_GB2312" w:eastAsia="仿宋_GB2312" w:cs="仿宋_GB2312"/>
          <w:color w:val="auto"/>
          <w:kern w:val="0"/>
          <w:sz w:val="32"/>
          <w:szCs w:val="32"/>
        </w:rPr>
        <w:t>区域至今还没有一个功能设施稍好的演出剧场，</w:t>
      </w:r>
      <w:r>
        <w:rPr>
          <w:rFonts w:hint="eastAsia" w:ascii="仿宋_GB2312" w:hAnsi="仿宋_GB2312" w:eastAsia="仿宋_GB2312" w:cs="仿宋_GB2312"/>
          <w:color w:val="auto"/>
          <w:sz w:val="32"/>
          <w:szCs w:val="32"/>
        </w:rPr>
        <w:t>不能满足不同区域群众的观演需求。</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t>而诸如遂宁、自贡等规模较大的老牌二级城市，至今还没有一个能提升城市文化气质、设施较为完善的专业演出剧场。解决文化的区域发展不平衡是一个大课题，与各地区的经济布局、产业结构、资源禀赋、人文环境等多个因素相关，随着“成渝双城经济圈”国家战略的实施，川渝两地的空间布局更趋协调、更加科学，文化的均衡发展将成为新时期文化建设和生产的重要趋势。</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lang w:val="en-US" w:eastAsia="zh-CN"/>
        </w:rPr>
        <w:t>另一方面，在</w:t>
      </w:r>
      <w:r>
        <w:rPr>
          <w:rFonts w:hint="eastAsia" w:ascii="仿宋_GB2312" w:hAnsi="仿宋_GB2312" w:eastAsia="仿宋_GB2312" w:cs="仿宋_GB2312"/>
          <w:color w:val="auto"/>
          <w:sz w:val="32"/>
          <w:szCs w:val="32"/>
        </w:rPr>
        <w:t>四川</w:t>
      </w:r>
      <w:r>
        <w:rPr>
          <w:rFonts w:hint="eastAsia" w:ascii="仿宋_GB2312" w:hAnsi="仿宋_GB2312" w:eastAsia="仿宋_GB2312" w:cs="仿宋_GB2312"/>
          <w:color w:val="auto"/>
          <w:sz w:val="32"/>
          <w:szCs w:val="32"/>
          <w:lang w:val="en-US" w:eastAsia="zh-CN"/>
        </w:rPr>
        <w:t>省一些市州拥有配套齐全、设备较好的</w:t>
      </w:r>
      <w:r>
        <w:rPr>
          <w:rFonts w:hint="eastAsia" w:ascii="仿宋_GB2312" w:hAnsi="仿宋_GB2312" w:eastAsia="仿宋_GB2312" w:cs="仿宋_GB2312"/>
          <w:color w:val="auto"/>
          <w:sz w:val="32"/>
          <w:szCs w:val="32"/>
        </w:rPr>
        <w:t>专业剧场存在“有好剧院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没有</w:t>
      </w:r>
      <w:r>
        <w:rPr>
          <w:rFonts w:hint="eastAsia" w:ascii="仿宋_GB2312" w:hAnsi="仿宋_GB2312" w:eastAsia="仿宋_GB2312" w:cs="仿宋_GB2312"/>
          <w:color w:val="auto"/>
          <w:sz w:val="32"/>
          <w:szCs w:val="32"/>
        </w:rPr>
        <w:t>好剧</w:t>
      </w:r>
      <w:r>
        <w:rPr>
          <w:rFonts w:hint="eastAsia" w:ascii="仿宋_GB2312" w:hAnsi="仿宋_GB2312" w:eastAsia="仿宋_GB2312" w:cs="仿宋_GB2312"/>
          <w:color w:val="auto"/>
          <w:sz w:val="32"/>
          <w:szCs w:val="32"/>
          <w:lang w:val="en-US" w:eastAsia="zh-CN"/>
        </w:rPr>
        <w:t>目</w:t>
      </w:r>
      <w:r>
        <w:rPr>
          <w:rFonts w:hint="eastAsia" w:ascii="仿宋_GB2312" w:hAnsi="仿宋_GB2312" w:eastAsia="仿宋_GB2312" w:cs="仿宋_GB2312"/>
          <w:color w:val="auto"/>
          <w:sz w:val="32"/>
          <w:szCs w:val="32"/>
        </w:rPr>
        <w:t>”的尴尬局面，场馆利用率不高的现象较为普遍。</w:t>
      </w:r>
      <w:r>
        <w:rPr>
          <w:rFonts w:hint="eastAsia" w:ascii="仿宋_GB2312" w:hAnsi="仿宋_GB2312" w:eastAsia="仿宋_GB2312" w:cs="仿宋_GB2312"/>
          <w:color w:val="auto"/>
          <w:sz w:val="32"/>
          <w:szCs w:val="32"/>
          <w:lang w:val="en-US" w:eastAsia="zh-CN"/>
        </w:rPr>
        <w:t>2021年，全年只有绵州大剧院、遂宁市文化中心小剧场和射洪艺术剧院演出超过20场的商业演出。</w:t>
      </w:r>
      <w:r>
        <w:rPr>
          <w:rFonts w:hint="eastAsia" w:ascii="仿宋_GB2312" w:hAnsi="仿宋_GB2312" w:eastAsia="仿宋_GB2312" w:cs="仿宋_GB2312"/>
          <w:color w:val="auto"/>
          <w:sz w:val="32"/>
          <w:szCs w:val="32"/>
        </w:rPr>
        <w:t>在未受疫情因素影响的2018—2019年期间，除成都市外，</w:t>
      </w:r>
      <w:r>
        <w:rPr>
          <w:rFonts w:hint="eastAsia" w:ascii="仿宋_GB2312" w:hAnsi="仿宋_GB2312" w:eastAsia="仿宋_GB2312" w:cs="仿宋_GB2312"/>
          <w:color w:val="auto"/>
          <w:sz w:val="32"/>
          <w:szCs w:val="32"/>
          <w:lang w:val="en-US" w:eastAsia="zh-CN"/>
        </w:rPr>
        <w:t>也</w:t>
      </w:r>
      <w:r>
        <w:rPr>
          <w:rFonts w:hint="eastAsia" w:ascii="仿宋_GB2312" w:hAnsi="仿宋_GB2312" w:eastAsia="仿宋_GB2312" w:cs="仿宋_GB2312"/>
          <w:color w:val="auto"/>
          <w:sz w:val="32"/>
          <w:szCs w:val="32"/>
        </w:rPr>
        <w:t>仅有</w:t>
      </w:r>
      <w:r>
        <w:rPr>
          <w:rFonts w:hint="eastAsia" w:ascii="仿宋_GB2312" w:hAnsi="仿宋_GB2312" w:eastAsia="仿宋_GB2312" w:cs="仿宋_GB2312"/>
          <w:color w:val="auto"/>
          <w:sz w:val="32"/>
          <w:szCs w:val="32"/>
          <w:lang w:val="en-US" w:eastAsia="zh-CN"/>
        </w:rPr>
        <w:t>绵州</w:t>
      </w:r>
      <w:r>
        <w:rPr>
          <w:rFonts w:hint="eastAsia" w:ascii="仿宋_GB2312" w:hAnsi="仿宋_GB2312" w:eastAsia="仿宋_GB2312" w:cs="仿宋_GB2312"/>
          <w:color w:val="auto"/>
          <w:sz w:val="32"/>
          <w:szCs w:val="32"/>
        </w:rPr>
        <w:t>大剧院、宜宾酒都剧场、泸州中国酒城大剧院、达州巴山大剧院、隆昌莲峰大剧院、广安市民广场大剧院、西昌金鹰大剧院7家剧场年均营业性演出场次达到30场以上。</w:t>
      </w:r>
      <w:r>
        <w:rPr>
          <w:rFonts w:hint="eastAsia" w:ascii="仿宋_GB2312" w:hAnsi="仿宋_GB2312" w:eastAsia="仿宋_GB2312" w:cs="仿宋_GB2312"/>
          <w:color w:val="auto"/>
          <w:sz w:val="32"/>
          <w:szCs w:val="32"/>
          <w:lang w:val="en-US" w:eastAsia="zh-CN"/>
        </w:rPr>
        <w:t>其中自开始运营以来年均演出近百场、承接较多大型项目的隆昌莲峰大剧院在2021年也仅演出17场。在其他市州共计65个大小剧场中，</w:t>
      </w:r>
      <w:r>
        <w:rPr>
          <w:rFonts w:hint="eastAsia" w:ascii="仿宋_GB2312" w:hAnsi="仿宋_GB2312" w:eastAsia="仿宋_GB2312" w:cs="仿宋_GB2312"/>
          <w:color w:val="auto"/>
          <w:sz w:val="32"/>
          <w:szCs w:val="32"/>
        </w:rPr>
        <w:t>许多剧场空置率惊人的高，全年大部分都是</w:t>
      </w:r>
      <w:r>
        <w:rPr>
          <w:rFonts w:hint="eastAsia" w:ascii="仿宋_GB2312" w:hAnsi="仿宋_GB2312" w:eastAsia="仿宋_GB2312" w:cs="仿宋_GB2312"/>
          <w:color w:val="auto"/>
          <w:sz w:val="32"/>
          <w:szCs w:val="32"/>
          <w:lang w:val="en-US" w:eastAsia="zh-CN"/>
        </w:rPr>
        <w:t>闲置状态</w:t>
      </w:r>
      <w:r>
        <w:rPr>
          <w:rFonts w:hint="eastAsia" w:ascii="仿宋_GB2312" w:hAnsi="仿宋_GB2312" w:eastAsia="仿宋_GB2312" w:cs="仿宋_GB2312"/>
          <w:color w:val="auto"/>
          <w:sz w:val="32"/>
          <w:szCs w:val="32"/>
        </w:rPr>
        <w:t>，这是对</w:t>
      </w:r>
      <w:r>
        <w:rPr>
          <w:rFonts w:hint="eastAsia" w:ascii="仿宋_GB2312" w:hAnsi="仿宋_GB2312" w:eastAsia="仿宋_GB2312" w:cs="仿宋_GB2312"/>
          <w:color w:val="auto"/>
          <w:sz w:val="32"/>
          <w:szCs w:val="32"/>
          <w:lang w:val="en-US" w:eastAsia="zh-CN"/>
        </w:rPr>
        <w:t>剧场资源</w:t>
      </w:r>
      <w:r>
        <w:rPr>
          <w:rFonts w:hint="eastAsia" w:ascii="仿宋_GB2312" w:hAnsi="仿宋_GB2312" w:eastAsia="仿宋_GB2312" w:cs="仿宋_GB2312"/>
          <w:color w:val="auto"/>
          <w:sz w:val="32"/>
          <w:szCs w:val="32"/>
        </w:rPr>
        <w:t>的巨大浪费。大部分市州剧场出现的演出场次总量</w:t>
      </w:r>
      <w:r>
        <w:rPr>
          <w:rFonts w:hint="eastAsia" w:ascii="仿宋_GB2312" w:hAnsi="仿宋_GB2312" w:eastAsia="仿宋_GB2312" w:cs="仿宋_GB2312"/>
          <w:color w:val="auto"/>
          <w:sz w:val="32"/>
          <w:szCs w:val="32"/>
          <w:lang w:val="en-US" w:eastAsia="zh-CN"/>
        </w:rPr>
        <w:t>低</w:t>
      </w:r>
      <w:r>
        <w:rPr>
          <w:rFonts w:hint="eastAsia" w:ascii="仿宋_GB2312" w:hAnsi="仿宋_GB2312" w:eastAsia="仿宋_GB2312" w:cs="仿宋_GB2312"/>
          <w:color w:val="auto"/>
          <w:sz w:val="32"/>
          <w:szCs w:val="32"/>
        </w:rPr>
        <w:t>、剧场利用率低的情况主要归因于单个演艺主体号召力和影响力有限，受行业壁垒捆绑接不到好的剧目，不能实现资源共享、优势互补，导致剧院主体的自主活力弱、创新突破能力差。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（二）管理缺乏规范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纵观四川全省剧</w:t>
      </w:r>
      <w:r>
        <w:rPr>
          <w:rFonts w:hint="eastAsia" w:ascii="仿宋_GB2312" w:hAnsi="仿宋_GB2312" w:eastAsia="仿宋_GB2312" w:cs="仿宋_GB2312"/>
          <w:color w:val="auto"/>
          <w:sz w:val="32"/>
          <w:szCs w:val="32"/>
          <w:lang w:val="en-US" w:eastAsia="zh-CN"/>
        </w:rPr>
        <w:t>院（场）</w:t>
      </w:r>
      <w:r>
        <w:rPr>
          <w:rFonts w:hint="eastAsia" w:ascii="仿宋_GB2312" w:hAnsi="仿宋_GB2312" w:eastAsia="仿宋_GB2312" w:cs="仿宋_GB2312"/>
          <w:color w:val="auto"/>
          <w:sz w:val="32"/>
          <w:szCs w:val="32"/>
        </w:rPr>
        <w:t>，专业剧场的建设、管理和服务标准还不健全。从建设到经营缺乏统一的行业标准，导致部分专业剧场重形象轻实质、重硬件轻软件、重建设轻管理；大部分专业剧场缺乏相应专业的管理运营团队，尤其是二级城市</w:t>
      </w:r>
      <w:r>
        <w:rPr>
          <w:rFonts w:hint="eastAsia" w:ascii="仿宋_GB2312" w:hAnsi="仿宋_GB2312" w:eastAsia="仿宋_GB2312" w:cs="仿宋_GB2312"/>
          <w:color w:val="auto"/>
          <w:sz w:val="32"/>
          <w:szCs w:val="32"/>
          <w:lang w:val="en-US" w:eastAsia="zh-CN"/>
        </w:rPr>
        <w:t>的专业剧场</w:t>
      </w:r>
      <w:r>
        <w:rPr>
          <w:rFonts w:hint="eastAsia" w:ascii="仿宋_GB2312" w:hAnsi="仿宋_GB2312" w:eastAsia="仿宋_GB2312" w:cs="仿宋_GB2312"/>
          <w:color w:val="auto"/>
          <w:sz w:val="32"/>
          <w:szCs w:val="32"/>
        </w:rPr>
        <w:t>综合性管理专门人才十分缺乏，与实现四川文化强省旅游强省目标所需要的外向拓展型演出经营的要求相对比，还存在很大差距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kern w:val="0"/>
          <w:sz w:val="32"/>
          <w:szCs w:val="32"/>
        </w:rPr>
        <w:t>就全省剧场的整体状况看，多数剧场，</w:t>
      </w:r>
      <w:r>
        <w:rPr>
          <w:rFonts w:hint="eastAsia" w:ascii="仿宋_GB2312" w:hAnsi="仿宋_GB2312" w:eastAsia="仿宋_GB2312" w:cs="仿宋_GB2312"/>
          <w:color w:val="auto"/>
          <w:kern w:val="0"/>
          <w:sz w:val="32"/>
          <w:szCs w:val="32"/>
          <w:lang w:val="en-US" w:eastAsia="zh-CN"/>
        </w:rPr>
        <w:t>特别</w:t>
      </w:r>
      <w:r>
        <w:rPr>
          <w:rFonts w:hint="eastAsia" w:ascii="仿宋_GB2312" w:hAnsi="仿宋_GB2312" w:eastAsia="仿宋_GB2312" w:cs="仿宋_GB2312"/>
          <w:color w:val="auto"/>
          <w:kern w:val="0"/>
          <w:sz w:val="32"/>
          <w:szCs w:val="32"/>
        </w:rPr>
        <w:t>是二级城市的剧场还没有真正实现从事业型、行政型向产业型、企业型转变，还没有从福利型、供给型向经营型、效益型转变。</w:t>
      </w:r>
      <w:r>
        <w:rPr>
          <w:rFonts w:hint="eastAsia" w:ascii="仿宋_GB2312" w:hAnsi="仿宋_GB2312" w:eastAsia="仿宋_GB2312" w:cs="仿宋_GB2312"/>
          <w:color w:val="auto"/>
          <w:sz w:val="32"/>
          <w:szCs w:val="32"/>
        </w:rPr>
        <w:t>总的来说，先进的文化管理形式是在不断的产生和成长的，新时代的剧场运营必须转变新理念、开拓新格局、谋求新发展，培育合格的文化企业家，构建专业的剧场管理体系，不断推动自身进步和革新，才能在时代的竞争中占有一席之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（三）运作模式单一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首先，剧场在引进剧目时同质化严重。以2021年5月为例，据不完全统计，成都演出市场上在售的“冰雪女王”“冰雪奇缘”系列儿童剧有儿童剧《冰雪女王》（阿尔法影城）、亲子魔幻儿童舞台剧《冰雪奇缘》（开心麻花·环球汇剧场）、音乐剧《冰雪女王》（新声剧场）、《冰雪皇后之爱莎的魔法秘密》（大喜时代剧场）等，全年共计20余部“冰雪”系列剧目落地演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其次</w:t>
      </w:r>
      <w:r>
        <w:rPr>
          <w:rFonts w:hint="eastAsia" w:ascii="仿宋_GB2312" w:hAnsi="仿宋_GB2312" w:eastAsia="仿宋_GB2312" w:cs="仿宋_GB2312"/>
          <w:color w:val="auto"/>
          <w:sz w:val="32"/>
          <w:szCs w:val="32"/>
        </w:rPr>
        <w:t>，全省大部分剧场经营项目单一，收入来源主要依靠场租和演出票房，文创餐饮、休闲娱乐服务及演出演艺相关衍生品的相关业态支撑比较薄弱，探索多元化可盈利的商业模式还是空白，大部分剧场还没有转型成为文旅融合下具有生机活力的市场竞争主体。眼下多元化经营做得较好的主要是民营企业投资的剧场，如成都域上和美先锋剧场。配套经营餐饮、娱乐，开发制作以“成都偷心”为IP符号的背包、文化衫、笔记本等50多种衍生产品，每年收入占剧场总收入的1／4以上。一些国有大型剧场因体制束缚或投放策略等原因，在多元化经营方面还有很大提升和开拓空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321" w:firstLineChars="1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（四）缺乏龙头品牌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由于四川各地剧场运营分散、单体弱小，缺少龙头企业的引领，欠缺原创制作的能力和运作大型项目的专业团队，缺乏宣传营销的规划、渠道和影响力，全省至今尚未形成具有核心竞争力和高辨识度的演艺品牌。各个剧场引进或制作的文化产品都处于零散的状态，几乎没有正规、响亮的文化产品品牌。没有原创品牌吸引观众，就没有培育观众文化消费习惯的载体，导致观众仍习惯于以免费或低消费的文化消费方式观看演出，实质消费力不强，高端文化消费动力严重不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lang w:val="en-US" w:eastAsia="zh-CN"/>
        </w:rPr>
        <w:t>四、四川省演出场所的发展趋势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成立龙头演艺集团，资源利益最大化</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目前四川剧场发展现状与存在问题表明，只有尽快建成打破区域和所有制界限、有实力有动能的演艺集团，才能以此为平台，整合省内各大剧院和文艺院团资源，</w:t>
      </w:r>
      <w:r>
        <w:rPr>
          <w:rFonts w:hint="eastAsia" w:ascii="仿宋_GB2312" w:hAnsi="仿宋_GB2312" w:eastAsia="仿宋_GB2312" w:cs="仿宋_GB2312"/>
          <w:bCs/>
          <w:color w:val="auto"/>
          <w:sz w:val="32"/>
          <w:szCs w:val="32"/>
        </w:rPr>
        <w:t>去粗取精、去劣取优，有机整合</w:t>
      </w:r>
      <w:r>
        <w:rPr>
          <w:rFonts w:hint="eastAsia" w:ascii="仿宋_GB2312" w:hAnsi="仿宋_GB2312" w:eastAsia="仿宋_GB2312" w:cs="仿宋_GB2312"/>
          <w:color w:val="auto"/>
          <w:sz w:val="32"/>
          <w:szCs w:val="32"/>
        </w:rPr>
        <w:t>快速形成上百亿的优质资产，形成强势的地域品牌，发挥规模经营和品牌效应，从而打通资本、内容、服务、渠道全产业链，才能全面提升整个剧场群的市场竞争力和抗风险能力，解决全省剧场和演艺院团规模小、资产散、实力弱、核心品牌效益不足、后续发展困难等一系列问题，</w:t>
      </w:r>
      <w:r>
        <w:rPr>
          <w:rFonts w:hint="eastAsia" w:ascii="仿宋_GB2312" w:hAnsi="仿宋_GB2312" w:eastAsia="仿宋_GB2312" w:cs="仿宋_GB2312"/>
          <w:bCs/>
          <w:color w:val="auto"/>
          <w:sz w:val="32"/>
          <w:szCs w:val="32"/>
        </w:rPr>
        <w:t>实现对剧场资源的有效利用、转化，提升以剧场为原点辐射文化生产、交换、分配和消费的文化产业动态效率，</w:t>
      </w:r>
      <w:r>
        <w:rPr>
          <w:rFonts w:hint="eastAsia" w:ascii="仿宋_GB2312" w:hAnsi="仿宋_GB2312" w:eastAsia="仿宋_GB2312" w:cs="仿宋_GB2312"/>
          <w:color w:val="auto"/>
          <w:sz w:val="32"/>
          <w:szCs w:val="32"/>
        </w:rPr>
        <w:t>抢占产业融合发展的制高点，带动文化旅游产业高质量发展。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二）</w:t>
      </w:r>
      <w:r>
        <w:rPr>
          <w:rFonts w:hint="eastAsia" w:ascii="仿宋_GB2312" w:hAnsi="仿宋_GB2312" w:eastAsia="仿宋_GB2312" w:cs="仿宋_GB2312"/>
          <w:b/>
          <w:bCs/>
          <w:color w:val="auto"/>
          <w:sz w:val="32"/>
          <w:szCs w:val="32"/>
        </w:rPr>
        <w:t>强化院线运营，建立剧场管理专业体系</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要升级全省的剧场运营模式，对现有的体系重构、进化，通过以</w:t>
      </w: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川省剧场院线、中国西部演艺院线为引领，探索规律化演艺项目运营的“四川模式”，打造</w:t>
      </w:r>
      <w:r>
        <w:rPr>
          <w:rFonts w:hint="eastAsia" w:ascii="仿宋_GB2312" w:hAnsi="仿宋_GB2312" w:eastAsia="仿宋_GB2312" w:cs="仿宋_GB2312"/>
          <w:bCs/>
          <w:color w:val="auto"/>
          <w:sz w:val="32"/>
          <w:szCs w:val="32"/>
        </w:rPr>
        <w:t>自主性品牌运营的“四川标准”，</w:t>
      </w:r>
      <w:r>
        <w:rPr>
          <w:rFonts w:hint="eastAsia" w:ascii="仿宋_GB2312" w:hAnsi="仿宋_GB2312" w:eastAsia="仿宋_GB2312" w:cs="仿宋_GB2312"/>
          <w:color w:val="auto"/>
          <w:sz w:val="32"/>
          <w:szCs w:val="32"/>
        </w:rPr>
        <w:t>共建专业化运营、规范化管理、标准化服务体系。同时，依托院线平台，形成全省演艺联动格局。采取试点委托管理、联合运营、租赁经营等方式，在成都平原、川南、川东北、攀西、川西北五大经济区条件成熟的地方各设1-2个分点，形成“1+5”到“1+10”直到“1+N”的规模化、集约化剧院运营体系，配合夜间文旅消费聚集区创建，助力四川文旅产业品牌培育。通过院线化运营，扩大演出场次规模，降低演出成本与投放价格，用既叫好又叫座、票房号召力强、性价比高的优秀项目，把底盘做大，把触角伸长，逐步改变全省剧院小、散、软的状况，改变地方剧院多形式少内容、有空间少利用、高配置低效能的现状，从根本上打破发展不平衡不充分的障碍，实现全省打通、上下对接、资源盘活、利益共享、风险分担，有效解决二、三线城市无好戏，剧场利用率不高、老百姓看精品戏少的难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321" w:firstLineChars="1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三）</w:t>
      </w:r>
      <w:r>
        <w:rPr>
          <w:rFonts w:hint="eastAsia" w:ascii="仿宋_GB2312" w:hAnsi="仿宋_GB2312" w:eastAsia="仿宋_GB2312" w:cs="仿宋_GB2312"/>
          <w:b/>
          <w:bCs/>
          <w:color w:val="auto"/>
          <w:sz w:val="32"/>
          <w:szCs w:val="32"/>
        </w:rPr>
        <w:t>实施平台战略布局，自主运营优秀剧目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智能终端普及的今天，传播的距离就是一个APP的距离。剧场、演艺与互联网科技结合的更新升级势不可挡，这种融合式的整合创新将越来越成为文化建设与发展的路径和手段。就四川而言，开发推广覆盖全省的四川省演出票务销售平台，并与“智游天府”四川文化和旅游公共服务平台对接，建立管理统一、功能完善的全省票务销售系统，自主掌握会员、版权、票务、运营渠道，优化数据，提升服务，提高票房收益。这个平台不是一个单纯的互联网项目，而是整个产业良性发展的强劲动力，既有的参与者可以通过这个平台缩短项目成功的进程，潜在的资源方可以通过这个平台找到加入的价值。同时，还可以通过院线推动逐步扩大此票务平台的社会影响力和市场影响力，逐步打通、整合其他渠道，开展旅游、体育、文娱休闲等行业的票务销售合作代理，形成全省联网、跨界融合的自主品牌性票务平台，最终实现“大数据化、大票务化、大平台化”运营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开拓多元发展，形成泛演艺产业链</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加大演艺资源整合与创新，盘活文化资产存量，以发展新时代文旅融合下的“演艺+”产业为核心，深入发掘、精于选择，推动演艺产业与旅游、文娱、艺术、教育、信息、物流、广告等产业深度融合，努力构建多元化的全省泛演艺产业版图。积极引导各地剧院从时间、空间上去优化业态，例如：开发演出之外的时间，举办文化讲座、艺术展览、沙龙、培训等活动；开发剧场之外的空间，发展艺术商店、艺术酒店、个性餐饮、咖啡书店等配套服务。通过业态丰富的多元化经营，使剧院的功能不止停留在单纯提供演出层面，而使之成为城市文化的综合体、民众共享的精神殿堂、城市识别的特色标志，从而更加充分发挥剧院的公共空间和文化价值，实现最大限度地利用剧场及配套设施资源，达到同时提升社会效益和经济效益的目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321" w:firstLineChars="1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五）</w:t>
      </w:r>
      <w:r>
        <w:rPr>
          <w:rFonts w:hint="eastAsia" w:ascii="仿宋_GB2312" w:hAnsi="仿宋_GB2312" w:eastAsia="仿宋_GB2312" w:cs="仿宋_GB2312"/>
          <w:b/>
          <w:bCs/>
          <w:color w:val="auto"/>
          <w:sz w:val="32"/>
          <w:szCs w:val="32"/>
        </w:rPr>
        <w:t>探索人力资源开发，提升剧场经营管理水平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剧院是综合性的艺术机构，完整的剧院管理体系涉及艺术的生产创作、推广传播和市场营销等诸多方面。剧院管理人才除了需要具备舞台艺术方面的专业能力，同时也要在剧目谈判、市场运作、企划营销等方面有相当经验。因此，实施剧场运营管理专业人才培养工程刻不容缓。可采取灵活多样的方式建设人才队伍，选拔能够规划剧场发展方向、制订合理经营管理方略、具有良好艺术欣赏水平、丰富从业经验和各类资源、熟知文化艺术政策法规、深谙演出市场发展规律、在剧场管理行业有一定号召力的优秀人才担当剧场管理重担；同时，分类、分批、分期对剧场管理负责人、相关技术人员进行培训，全面提高各地剧场的经营管理水平、工程技术水平与服务接待能力；辅以举办专家讲座、专家定向培训、专业人才派出入驻剧院场馆指导参与等方式，展开系统化、定制化的剧场人才培训，推动四川全省各地各级剧院在技术、管理、经营等方面的能力提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321" w:firstLineChars="1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六）</w:t>
      </w:r>
      <w:r>
        <w:rPr>
          <w:rFonts w:hint="eastAsia" w:ascii="仿宋_GB2312" w:hAnsi="仿宋_GB2312" w:eastAsia="仿宋_GB2312" w:cs="仿宋_GB2312"/>
          <w:b/>
          <w:bCs/>
          <w:color w:val="auto"/>
          <w:sz w:val="32"/>
          <w:szCs w:val="32"/>
        </w:rPr>
        <w:t>用文化品牌筑梦，打造四川剧场IP</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清晰市场定位，走品牌化道路，建设有竞争力、辨识度的演艺品牌是解决四川演出市场结构性矛盾的必由之路。</w:t>
      </w:r>
      <w:r>
        <w:rPr>
          <w:rFonts w:hint="eastAsia" w:ascii="仿宋_GB2312" w:hAnsi="仿宋_GB2312" w:eastAsia="仿宋_GB2312" w:cs="仿宋_GB2312"/>
          <w:color w:val="auto"/>
          <w:sz w:val="32"/>
          <w:szCs w:val="32"/>
          <w:lang w:val="en-US" w:eastAsia="zh-CN"/>
        </w:rPr>
        <w:t>未来应</w:t>
      </w:r>
      <w:r>
        <w:rPr>
          <w:rFonts w:hint="eastAsia" w:ascii="仿宋_GB2312" w:hAnsi="仿宋_GB2312" w:eastAsia="仿宋_GB2312" w:cs="仿宋_GB2312"/>
          <w:color w:val="auto"/>
          <w:sz w:val="32"/>
          <w:szCs w:val="32"/>
        </w:rPr>
        <w:t>通过实力强劲的演艺集团牵头，强化各地剧场和院团之间的合作，整合各类资源,打造重点项目、重大活动、精品演出，构建专业化、规模化、集约化的四川演艺品牌运营推广网络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政策扶持可侧重于文化的细分领域，根据不同文化资源和运营规律和市场特性，设计差异化的扶持政策，协调推进文化领域体制机制改革，强化文化品牌建设的体制机制保障，激发政府部门、广大市民、文化主体的积极主动性，形成推进文化品牌铸造的强大合力，从而塑造出知名度高、影响力大、示范性强、发展前景好的四川文旅优势品牌，助推</w:t>
      </w:r>
      <w:r>
        <w:rPr>
          <w:rFonts w:hint="eastAsia" w:ascii="仿宋_GB2312" w:hAnsi="仿宋_GB2312" w:eastAsia="仿宋_GB2312" w:cs="仿宋_GB2312"/>
          <w:color w:val="auto"/>
          <w:kern w:val="0"/>
          <w:sz w:val="32"/>
          <w:szCs w:val="32"/>
          <w:shd w:val="clear" w:color="auto" w:fill="FFFFFF"/>
        </w:rPr>
        <w:t>文化强省旅游强省建设。</w:t>
      </w:r>
    </w:p>
    <w:p>
      <w:pPr>
        <w:rPr>
          <w:rFonts w:hint="eastAsia" w:ascii="仿宋_GB2312" w:hAnsi="仿宋_GB2312" w:eastAsia="仿宋_GB2312" w:cs="仿宋_GB2312"/>
          <w:sz w:val="32"/>
          <w:szCs w:val="32"/>
          <w:lang w:val="en-US" w:eastAsia="zh-CN"/>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both"/>
        <w:rPr>
          <w:rFonts w:hint="eastAsia" w:ascii="方正小标宋简体" w:hAnsi="方正小标宋简体" w:eastAsia="方正小标宋简体" w:cs="方正小标宋简体"/>
          <w:b w:val="0"/>
          <w:bCs w:val="0"/>
          <w:sz w:val="44"/>
          <w:szCs w:val="44"/>
          <w:lang w:val="en-US" w:eastAsia="zh-Hans"/>
        </w:rPr>
      </w:pPr>
    </w:p>
    <w:p>
      <w:pPr>
        <w:pStyle w:val="2"/>
        <w:rPr>
          <w:rFonts w:hint="eastAsia" w:ascii="方正小标宋简体" w:hAnsi="方正小标宋简体" w:eastAsia="方正小标宋简体" w:cs="方正小标宋简体"/>
          <w:b w:val="0"/>
          <w:bCs w:val="0"/>
          <w:sz w:val="44"/>
          <w:szCs w:val="44"/>
          <w:lang w:val="en-US" w:eastAsia="zh-Hans"/>
        </w:rPr>
      </w:pPr>
    </w:p>
    <w:p>
      <w:pPr>
        <w:rPr>
          <w:rFonts w:hint="eastAsia" w:ascii="方正小标宋简体" w:hAnsi="方正小标宋简体" w:eastAsia="方正小标宋简体" w:cs="方正小标宋简体"/>
          <w:b w:val="0"/>
          <w:bCs w:val="0"/>
          <w:sz w:val="44"/>
          <w:szCs w:val="44"/>
          <w:lang w:val="en-US" w:eastAsia="zh-Hans"/>
        </w:rPr>
      </w:pPr>
    </w:p>
    <w:p>
      <w:pPr>
        <w:pStyle w:val="2"/>
        <w:rPr>
          <w:rFonts w:hint="eastAsia" w:ascii="方正小标宋简体" w:hAnsi="方正小标宋简体" w:eastAsia="方正小标宋简体" w:cs="方正小标宋简体"/>
          <w:b w:val="0"/>
          <w:bCs w:val="0"/>
          <w:sz w:val="44"/>
          <w:szCs w:val="44"/>
          <w:lang w:val="en-US" w:eastAsia="zh-Hans"/>
        </w:rPr>
      </w:pPr>
    </w:p>
    <w:p>
      <w:pPr>
        <w:rPr>
          <w:rFonts w:hint="eastAsia"/>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pStyle w:val="2"/>
        <w:rPr>
          <w:rFonts w:hint="eastAsia" w:ascii="方正小标宋简体" w:hAnsi="方正小标宋简体" w:eastAsia="方正小标宋简体" w:cs="方正小标宋简体"/>
          <w:b w:val="0"/>
          <w:bCs w:val="0"/>
          <w:sz w:val="44"/>
          <w:szCs w:val="44"/>
          <w:lang w:val="en-US" w:eastAsia="zh-Hans"/>
        </w:rPr>
      </w:pPr>
    </w:p>
    <w:p>
      <w:pPr>
        <w:rPr>
          <w:rFonts w:hint="eastAsia"/>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44"/>
          <w:szCs w:val="44"/>
          <w:lang w:val="en-US" w:eastAsia="zh-Hans"/>
        </w:rPr>
      </w:pPr>
    </w:p>
    <w:p>
      <w:pPr>
        <w:numPr>
          <w:ilvl w:val="0"/>
          <w:numId w:val="0"/>
        </w:numPr>
        <w:jc w:val="center"/>
        <w:rPr>
          <w:rFonts w:hint="eastAsia" w:ascii="方正小标宋简体" w:hAnsi="方正小标宋简体" w:eastAsia="方正小标宋简体" w:cs="方正小标宋简体"/>
          <w:b w:val="0"/>
          <w:bCs w:val="0"/>
          <w:sz w:val="30"/>
          <w:szCs w:val="30"/>
          <w:lang w:val="en-US" w:eastAsia="zh-Hans"/>
        </w:rPr>
      </w:pPr>
      <w:r>
        <w:rPr>
          <w:rFonts w:hint="eastAsia" w:ascii="方正小标宋简体" w:hAnsi="方正小标宋简体" w:eastAsia="方正小标宋简体" w:cs="方正小标宋简体"/>
          <w:b w:val="0"/>
          <w:bCs w:val="0"/>
          <w:sz w:val="44"/>
          <w:szCs w:val="44"/>
          <w:lang w:val="en-US" w:eastAsia="zh-Hans"/>
        </w:rPr>
        <w:t>第三章</w:t>
      </w:r>
      <w:r>
        <w:rPr>
          <w:rFonts w:hint="eastAsia" w:ascii="方正小标宋简体" w:hAnsi="方正小标宋简体" w:eastAsia="方正小标宋简体" w:cs="方正小标宋简体"/>
          <w:b w:val="0"/>
          <w:bCs w:val="0"/>
          <w:sz w:val="44"/>
          <w:szCs w:val="44"/>
          <w:lang w:eastAsia="zh-Hans"/>
        </w:rPr>
        <w:t xml:space="preserve">  </w:t>
      </w:r>
      <w:r>
        <w:rPr>
          <w:rFonts w:hint="eastAsia" w:ascii="方正小标宋简体" w:hAnsi="方正小标宋简体" w:eastAsia="方正小标宋简体" w:cs="方正小标宋简体"/>
          <w:b w:val="0"/>
          <w:bCs w:val="0"/>
          <w:sz w:val="44"/>
          <w:szCs w:val="44"/>
          <w:lang w:val="en-US" w:eastAsia="zh-Hans"/>
        </w:rPr>
        <w:t>四川</w:t>
      </w:r>
      <w:r>
        <w:rPr>
          <w:rFonts w:hint="eastAsia" w:ascii="方正小标宋简体" w:hAnsi="方正小标宋简体" w:eastAsia="方正小标宋简体" w:cs="方正小标宋简体"/>
          <w:b w:val="0"/>
          <w:bCs w:val="0"/>
          <w:sz w:val="44"/>
          <w:szCs w:val="44"/>
          <w:lang w:val="en-US" w:eastAsia="zh-CN"/>
        </w:rPr>
        <w:t>省</w:t>
      </w:r>
      <w:r>
        <w:rPr>
          <w:rFonts w:hint="eastAsia" w:ascii="方正小标宋简体" w:hAnsi="方正小标宋简体" w:eastAsia="方正小标宋简体" w:cs="方正小标宋简体"/>
          <w:b w:val="0"/>
          <w:bCs w:val="0"/>
          <w:sz w:val="44"/>
          <w:szCs w:val="44"/>
          <w:lang w:val="en-US" w:eastAsia="zh-Hans"/>
        </w:rPr>
        <w:t>演出经纪机构发展报告</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演出经纪公司是演出市场生产经营者和消费者之间的纽带与桥梁，是演出市场活跃的群体，对加快演出市场信息的有效传递，密切演出市场生产者与消费者之间的联系，促进演出市场资源的合理配置、推动演出市场规范发展与繁荣兴盛发挥着不可替代的作用。</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2021年，全省演出经纪机构瞄准文化强省建设目标，有效克服疫情影响，开启“十四五”演艺产业高质量发展新局。</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default" w:ascii="仿宋" w:hAnsi="仿宋" w:eastAsia="仿宋" w:cs="仿宋"/>
          <w:b w:val="0"/>
          <w:bCs w:val="0"/>
          <w:color w:val="auto"/>
          <w:sz w:val="30"/>
          <w:szCs w:val="30"/>
          <w:lang w:eastAsia="zh-Hans"/>
        </w:rPr>
      </w:pPr>
      <w:r>
        <w:rPr>
          <w:rFonts w:hint="eastAsia" w:ascii="黑体" w:hAnsi="黑体" w:eastAsia="黑体" w:cs="黑体"/>
          <w:b w:val="0"/>
          <w:bCs w:val="0"/>
          <w:color w:val="auto"/>
          <w:sz w:val="32"/>
          <w:szCs w:val="32"/>
          <w:lang w:val="en-US" w:eastAsia="zh-Hans"/>
        </w:rPr>
        <w:t>一、四川</w:t>
      </w:r>
      <w:r>
        <w:rPr>
          <w:rFonts w:hint="eastAsia" w:ascii="黑体" w:hAnsi="黑体" w:eastAsia="黑体" w:cs="黑体"/>
          <w:b w:val="0"/>
          <w:bCs w:val="0"/>
          <w:color w:val="auto"/>
          <w:sz w:val="32"/>
          <w:szCs w:val="32"/>
          <w:lang w:val="en-US" w:eastAsia="zh-CN"/>
        </w:rPr>
        <w:t>省</w:t>
      </w:r>
      <w:r>
        <w:rPr>
          <w:rFonts w:hint="eastAsia" w:ascii="黑体" w:hAnsi="黑体" w:eastAsia="黑体" w:cs="黑体"/>
          <w:b w:val="0"/>
          <w:bCs w:val="0"/>
          <w:color w:val="auto"/>
          <w:sz w:val="32"/>
          <w:szCs w:val="32"/>
          <w:lang w:val="en-US" w:eastAsia="zh-Hans"/>
        </w:rPr>
        <w:t>演出经纪机构基本情况</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eastAsia="zh-Hans"/>
        </w:rPr>
        <w:t>（</w:t>
      </w:r>
      <w:r>
        <w:rPr>
          <w:rFonts w:hint="eastAsia" w:ascii="方正仿宋_GB2312" w:hAnsi="方正仿宋_GB2312" w:eastAsia="方正仿宋_GB2312" w:cs="方正仿宋_GB2312"/>
          <w:b/>
          <w:bCs/>
          <w:color w:val="auto"/>
          <w:sz w:val="32"/>
          <w:szCs w:val="32"/>
          <w:lang w:val="en-US" w:eastAsia="zh-Hans"/>
        </w:rPr>
        <w:t>一</w:t>
      </w:r>
      <w:r>
        <w:rPr>
          <w:rFonts w:hint="eastAsia" w:ascii="方正仿宋_GB2312" w:hAnsi="方正仿宋_GB2312" w:eastAsia="方正仿宋_GB2312" w:cs="方正仿宋_GB2312"/>
          <w:b/>
          <w:bCs/>
          <w:color w:val="auto"/>
          <w:sz w:val="32"/>
          <w:szCs w:val="32"/>
          <w:lang w:eastAsia="zh-Hans"/>
        </w:rPr>
        <w:t>）</w:t>
      </w:r>
      <w:r>
        <w:rPr>
          <w:rFonts w:hint="eastAsia" w:ascii="方正仿宋_GB2312" w:hAnsi="方正仿宋_GB2312" w:eastAsia="方正仿宋_GB2312" w:cs="方正仿宋_GB2312"/>
          <w:b/>
          <w:bCs/>
          <w:color w:val="auto"/>
          <w:sz w:val="32"/>
          <w:szCs w:val="32"/>
          <w:lang w:val="en-US" w:eastAsia="zh-Hans"/>
        </w:rPr>
        <w:t>机构数量</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30" w:firstLineChars="300"/>
        <w:jc w:val="left"/>
        <w:textAlignment w:val="auto"/>
        <w:rPr>
          <w:rFonts w:hint="eastAsia" w:ascii="仿宋" w:hAnsi="仿宋" w:eastAsia="仿宋" w:cs="仿宋"/>
          <w:b w:val="0"/>
          <w:bCs w:val="0"/>
          <w:color w:val="auto"/>
          <w:sz w:val="30"/>
          <w:szCs w:val="30"/>
          <w:lang w:val="en-US" w:eastAsia="zh-CN"/>
        </w:rPr>
      </w:pPr>
      <w:r>
        <w:rPr>
          <w:color w:val="auto"/>
        </w:rPr>
        <w:drawing>
          <wp:anchor distT="0" distB="0" distL="114300" distR="114300" simplePos="0" relativeHeight="251676672" behindDoc="0" locked="0" layoutInCell="1" allowOverlap="1">
            <wp:simplePos x="0" y="0"/>
            <wp:positionH relativeFrom="column">
              <wp:posOffset>534670</wp:posOffset>
            </wp:positionH>
            <wp:positionV relativeFrom="paragraph">
              <wp:posOffset>1269365</wp:posOffset>
            </wp:positionV>
            <wp:extent cx="4060825" cy="2600960"/>
            <wp:effectExtent l="4445" t="5080" r="11430" b="22860"/>
            <wp:wrapTopAndBottom/>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年全省共有演出经纪机构</w:t>
      </w:r>
      <w:r>
        <w:rPr>
          <w:rFonts w:hint="default" w:ascii="仿宋_GB2312" w:hAnsi="仿宋_GB2312" w:eastAsia="仿宋_GB2312" w:cs="仿宋_GB2312"/>
          <w:b w:val="0"/>
          <w:bCs w:val="0"/>
          <w:kern w:val="2"/>
          <w:sz w:val="32"/>
          <w:szCs w:val="32"/>
          <w:lang w:val="en-US" w:eastAsia="zh-Hans" w:bidi="ar-SA"/>
        </w:rPr>
        <w:t>110</w:t>
      </w:r>
      <w:r>
        <w:rPr>
          <w:rFonts w:hint="eastAsia" w:ascii="仿宋_GB2312" w:hAnsi="仿宋_GB2312" w:eastAsia="仿宋_GB2312" w:cs="仿宋_GB2312"/>
          <w:b w:val="0"/>
          <w:bCs w:val="0"/>
          <w:kern w:val="2"/>
          <w:sz w:val="32"/>
          <w:szCs w:val="32"/>
          <w:lang w:val="en-US" w:eastAsia="zh-Hans" w:bidi="ar-SA"/>
        </w:rPr>
        <w:t>个（不含兼营演出经纪的文化公司），较疫情前的</w:t>
      </w:r>
      <w:r>
        <w:rPr>
          <w:rFonts w:hint="default" w:ascii="仿宋_GB2312" w:hAnsi="仿宋_GB2312" w:eastAsia="仿宋_GB2312" w:cs="仿宋_GB2312"/>
          <w:b w:val="0"/>
          <w:bCs w:val="0"/>
          <w:kern w:val="2"/>
          <w:sz w:val="32"/>
          <w:szCs w:val="32"/>
          <w:lang w:val="en-US" w:eastAsia="zh-Hans" w:bidi="ar-SA"/>
        </w:rPr>
        <w:t>2019</w:t>
      </w:r>
      <w:r>
        <w:rPr>
          <w:rFonts w:hint="eastAsia" w:ascii="仿宋_GB2312" w:hAnsi="仿宋_GB2312" w:eastAsia="仿宋_GB2312" w:cs="仿宋_GB2312"/>
          <w:b w:val="0"/>
          <w:bCs w:val="0"/>
          <w:kern w:val="2"/>
          <w:sz w:val="32"/>
          <w:szCs w:val="32"/>
          <w:lang w:val="en-US" w:eastAsia="zh-Hans" w:bidi="ar-SA"/>
        </w:rPr>
        <w:t>年减少</w:t>
      </w:r>
      <w:r>
        <w:rPr>
          <w:rFonts w:hint="default" w:ascii="仿宋_GB2312" w:hAnsi="仿宋_GB2312" w:eastAsia="仿宋_GB2312" w:cs="仿宋_GB2312"/>
          <w:b w:val="0"/>
          <w:bCs w:val="0"/>
          <w:kern w:val="2"/>
          <w:sz w:val="32"/>
          <w:szCs w:val="32"/>
          <w:lang w:val="en-US" w:eastAsia="zh-Hans" w:bidi="ar-SA"/>
        </w:rPr>
        <w:t>81</w:t>
      </w:r>
      <w:r>
        <w:rPr>
          <w:rFonts w:hint="eastAsia" w:ascii="仿宋_GB2312" w:hAnsi="仿宋_GB2312" w:eastAsia="仿宋_GB2312" w:cs="仿宋_GB2312"/>
          <w:b w:val="0"/>
          <w:bCs w:val="0"/>
          <w:kern w:val="2"/>
          <w:sz w:val="32"/>
          <w:szCs w:val="32"/>
          <w:lang w:val="en-US" w:eastAsia="zh-Hans" w:bidi="ar-SA"/>
        </w:rPr>
        <w:t>个，减少</w:t>
      </w:r>
      <w:r>
        <w:rPr>
          <w:rFonts w:hint="eastAsia" w:ascii="仿宋_GB2312" w:hAnsi="仿宋_GB2312" w:eastAsia="仿宋_GB2312" w:cs="仿宋_GB2312"/>
          <w:b w:val="0"/>
          <w:bCs w:val="0"/>
          <w:kern w:val="2"/>
          <w:sz w:val="32"/>
          <w:szCs w:val="32"/>
          <w:lang w:val="en-US" w:eastAsia="zh-CN" w:bidi="ar-SA"/>
        </w:rPr>
        <w:t>4</w:t>
      </w:r>
      <w:r>
        <w:rPr>
          <w:rFonts w:hint="default" w:ascii="仿宋_GB2312" w:hAnsi="仿宋_GB2312" w:eastAsia="仿宋_GB2312" w:cs="仿宋_GB2312"/>
          <w:b w:val="0"/>
          <w:bCs w:val="0"/>
          <w:kern w:val="2"/>
          <w:sz w:val="32"/>
          <w:szCs w:val="32"/>
          <w:lang w:val="en-US" w:eastAsia="zh-CN" w:bidi="ar-SA"/>
        </w:rPr>
        <w:t>2</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4</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；较</w:t>
      </w:r>
      <w:r>
        <w:rPr>
          <w:rFonts w:hint="default" w:ascii="仿宋_GB2312" w:hAnsi="仿宋_GB2312" w:eastAsia="仿宋_GB2312" w:cs="仿宋_GB2312"/>
          <w:b w:val="0"/>
          <w:bCs w:val="0"/>
          <w:kern w:val="2"/>
          <w:sz w:val="32"/>
          <w:szCs w:val="32"/>
          <w:lang w:val="en-US" w:eastAsia="zh-Hans" w:bidi="ar-SA"/>
        </w:rPr>
        <w:t>2020</w:t>
      </w:r>
      <w:r>
        <w:rPr>
          <w:rFonts w:hint="eastAsia" w:ascii="仿宋_GB2312" w:hAnsi="仿宋_GB2312" w:eastAsia="仿宋_GB2312" w:cs="仿宋_GB2312"/>
          <w:b w:val="0"/>
          <w:bCs w:val="0"/>
          <w:kern w:val="2"/>
          <w:sz w:val="32"/>
          <w:szCs w:val="32"/>
          <w:lang w:val="en-US" w:eastAsia="zh-Hans" w:bidi="ar-SA"/>
        </w:rPr>
        <w:t>年减少</w:t>
      </w:r>
      <w:r>
        <w:rPr>
          <w:rFonts w:hint="default" w:ascii="仿宋_GB2312" w:hAnsi="仿宋_GB2312" w:eastAsia="仿宋_GB2312" w:cs="仿宋_GB2312"/>
          <w:b w:val="0"/>
          <w:bCs w:val="0"/>
          <w:kern w:val="2"/>
          <w:sz w:val="32"/>
          <w:szCs w:val="32"/>
          <w:lang w:val="en-US" w:eastAsia="zh-Hans" w:bidi="ar-SA"/>
        </w:rPr>
        <w:t>28</w:t>
      </w:r>
      <w:r>
        <w:rPr>
          <w:rFonts w:hint="eastAsia" w:ascii="仿宋_GB2312" w:hAnsi="仿宋_GB2312" w:eastAsia="仿宋_GB2312" w:cs="仿宋_GB2312"/>
          <w:b w:val="0"/>
          <w:bCs w:val="0"/>
          <w:kern w:val="2"/>
          <w:sz w:val="32"/>
          <w:szCs w:val="32"/>
          <w:lang w:val="en-US" w:eastAsia="zh-Hans" w:bidi="ar-SA"/>
        </w:rPr>
        <w:t>个，减少</w:t>
      </w:r>
      <w:r>
        <w:rPr>
          <w:rFonts w:hint="eastAsia" w:ascii="仿宋_GB2312" w:hAnsi="仿宋_GB2312" w:eastAsia="仿宋_GB2312" w:cs="仿宋_GB2312"/>
          <w:b w:val="0"/>
          <w:bCs w:val="0"/>
          <w:kern w:val="2"/>
          <w:sz w:val="32"/>
          <w:szCs w:val="32"/>
          <w:lang w:val="en-US" w:eastAsia="zh-CN" w:bidi="ar-SA"/>
        </w:rPr>
        <w:t>2</w:t>
      </w:r>
      <w:r>
        <w:rPr>
          <w:rFonts w:hint="default" w:ascii="仿宋_GB2312" w:hAnsi="仿宋_GB2312" w:eastAsia="仿宋_GB2312" w:cs="仿宋_GB2312"/>
          <w:b w:val="0"/>
          <w:bCs w:val="0"/>
          <w:kern w:val="2"/>
          <w:sz w:val="32"/>
          <w:szCs w:val="32"/>
          <w:lang w:val="en-US" w:eastAsia="zh-CN" w:bidi="ar-SA"/>
        </w:rPr>
        <w:t>0</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3</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center"/>
        <w:textAlignment w:val="auto"/>
        <w:outlineLvl w:val="9"/>
        <w:rPr>
          <w:rFonts w:hint="default" w:ascii="宋体" w:hAnsi="宋体" w:eastAsia="宋体" w:cs="宋体"/>
          <w:b/>
          <w:bCs/>
          <w:color w:val="auto"/>
          <w:kern w:val="0"/>
          <w:sz w:val="20"/>
          <w:szCs w:val="20"/>
          <w:shd w:val="clear" w:color="auto" w:fill="FFFFFF"/>
          <w:lang w:val="en-US" w:eastAsia="zh-CN" w:bidi="ar-SA"/>
        </w:rPr>
      </w:pPr>
      <w:r>
        <w:rPr>
          <w:rFonts w:hint="eastAsia" w:ascii="宋体" w:hAnsi="宋体" w:eastAsia="宋体" w:cs="宋体"/>
          <w:b/>
          <w:bCs/>
          <w:color w:val="auto"/>
          <w:kern w:val="0"/>
          <w:sz w:val="20"/>
          <w:szCs w:val="20"/>
          <w:shd w:val="clear" w:color="auto" w:fill="FFFFFF"/>
          <w:lang w:val="en-US" w:eastAsia="zh-CN" w:bidi="ar-SA"/>
        </w:rPr>
        <w:t>图表</w:t>
      </w:r>
      <w:r>
        <w:rPr>
          <w:rFonts w:hint="eastAsia" w:ascii="宋体" w:hAnsi="宋体" w:cs="宋体"/>
          <w:b/>
          <w:bCs/>
          <w:color w:val="auto"/>
          <w:kern w:val="0"/>
          <w:sz w:val="20"/>
          <w:szCs w:val="20"/>
          <w:shd w:val="clear" w:color="auto" w:fill="FFFFFF"/>
          <w:lang w:val="en-US" w:eastAsia="zh-CN" w:bidi="ar-SA"/>
        </w:rPr>
        <w:t xml:space="preserve">3-1  </w:t>
      </w:r>
      <w:r>
        <w:rPr>
          <w:rFonts w:hint="eastAsia" w:ascii="宋体" w:hAnsi="宋体" w:eastAsia="宋体" w:cs="宋体"/>
          <w:b/>
          <w:bCs/>
          <w:color w:val="auto"/>
          <w:kern w:val="0"/>
          <w:sz w:val="20"/>
          <w:szCs w:val="20"/>
          <w:shd w:val="clear" w:color="auto" w:fill="FFFFFF"/>
          <w:lang w:val="en-US" w:eastAsia="zh-CN" w:bidi="ar-SA"/>
        </w:rPr>
        <w:t>四川省演出经纪机构数量变化（2019年-2021年）</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eastAsia="zh-Hans"/>
        </w:rPr>
        <w:t>（</w:t>
      </w:r>
      <w:r>
        <w:rPr>
          <w:rFonts w:hint="eastAsia" w:ascii="方正仿宋_GB2312" w:hAnsi="方正仿宋_GB2312" w:eastAsia="方正仿宋_GB2312" w:cs="方正仿宋_GB2312"/>
          <w:b/>
          <w:bCs/>
          <w:color w:val="auto"/>
          <w:sz w:val="32"/>
          <w:szCs w:val="32"/>
          <w:lang w:val="en-US" w:eastAsia="zh-Hans"/>
        </w:rPr>
        <w:t>二</w:t>
      </w:r>
      <w:r>
        <w:rPr>
          <w:rFonts w:hint="eastAsia" w:ascii="方正仿宋_GB2312" w:hAnsi="方正仿宋_GB2312" w:eastAsia="方正仿宋_GB2312" w:cs="方正仿宋_GB2312"/>
          <w:b/>
          <w:bCs/>
          <w:color w:val="auto"/>
          <w:sz w:val="32"/>
          <w:szCs w:val="32"/>
          <w:lang w:eastAsia="zh-Hans"/>
        </w:rPr>
        <w:t>）</w:t>
      </w:r>
      <w:r>
        <w:rPr>
          <w:rFonts w:hint="eastAsia" w:ascii="方正仿宋_GB2312" w:hAnsi="方正仿宋_GB2312" w:eastAsia="方正仿宋_GB2312" w:cs="方正仿宋_GB2312"/>
          <w:b/>
          <w:bCs/>
          <w:color w:val="auto"/>
          <w:sz w:val="32"/>
          <w:szCs w:val="32"/>
          <w:lang w:val="en-US" w:eastAsia="zh-Hans"/>
        </w:rPr>
        <w:t>人员情况</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eastAsia="zh-Hans"/>
        </w:rPr>
        <w:t>1、</w:t>
      </w:r>
      <w:r>
        <w:rPr>
          <w:rFonts w:hint="eastAsia" w:ascii="方正仿宋_GB2312" w:hAnsi="方正仿宋_GB2312" w:eastAsia="方正仿宋_GB2312" w:cs="方正仿宋_GB2312"/>
          <w:b/>
          <w:bCs/>
          <w:color w:val="auto"/>
          <w:sz w:val="32"/>
          <w:szCs w:val="32"/>
          <w:lang w:val="en-US" w:eastAsia="zh-Hans"/>
        </w:rPr>
        <w:t>从业人数</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年全省演出经纪机构从业人员</w:t>
      </w:r>
      <w:r>
        <w:rPr>
          <w:rFonts w:hint="default" w:ascii="仿宋_GB2312" w:hAnsi="仿宋_GB2312" w:eastAsia="仿宋_GB2312" w:cs="仿宋_GB2312"/>
          <w:b w:val="0"/>
          <w:bCs w:val="0"/>
          <w:kern w:val="2"/>
          <w:sz w:val="32"/>
          <w:szCs w:val="32"/>
          <w:lang w:val="en-US" w:eastAsia="zh-Hans" w:bidi="ar-SA"/>
        </w:rPr>
        <w:t>1521</w:t>
      </w:r>
      <w:r>
        <w:rPr>
          <w:rFonts w:hint="eastAsia" w:ascii="仿宋_GB2312" w:hAnsi="仿宋_GB2312" w:eastAsia="仿宋_GB2312" w:cs="仿宋_GB2312"/>
          <w:b w:val="0"/>
          <w:bCs w:val="0"/>
          <w:kern w:val="2"/>
          <w:sz w:val="32"/>
          <w:szCs w:val="32"/>
          <w:lang w:val="en-US" w:eastAsia="zh-Hans" w:bidi="ar-SA"/>
        </w:rPr>
        <w:t>人，较疫情前的</w:t>
      </w:r>
      <w:r>
        <w:rPr>
          <w:rFonts w:hint="default" w:ascii="仿宋_GB2312" w:hAnsi="仿宋_GB2312" w:eastAsia="仿宋_GB2312" w:cs="仿宋_GB2312"/>
          <w:b w:val="0"/>
          <w:bCs w:val="0"/>
          <w:kern w:val="2"/>
          <w:sz w:val="32"/>
          <w:szCs w:val="32"/>
          <w:lang w:val="en-US" w:eastAsia="zh-Hans" w:bidi="ar-SA"/>
        </w:rPr>
        <w:t>2019</w:t>
      </w:r>
      <w:r>
        <w:rPr>
          <w:rFonts w:hint="eastAsia" w:ascii="仿宋_GB2312" w:hAnsi="仿宋_GB2312" w:eastAsia="仿宋_GB2312" w:cs="仿宋_GB2312"/>
          <w:b w:val="0"/>
          <w:bCs w:val="0"/>
          <w:kern w:val="2"/>
          <w:sz w:val="32"/>
          <w:szCs w:val="32"/>
          <w:lang w:val="en-US" w:eastAsia="zh-Hans" w:bidi="ar-SA"/>
        </w:rPr>
        <w:t>年减少</w:t>
      </w:r>
      <w:r>
        <w:rPr>
          <w:rFonts w:hint="default" w:ascii="仿宋_GB2312" w:hAnsi="仿宋_GB2312" w:eastAsia="仿宋_GB2312" w:cs="仿宋_GB2312"/>
          <w:b w:val="0"/>
          <w:bCs w:val="0"/>
          <w:kern w:val="2"/>
          <w:sz w:val="32"/>
          <w:szCs w:val="32"/>
          <w:lang w:val="en-US" w:eastAsia="zh-CN" w:bidi="ar-SA"/>
        </w:rPr>
        <w:t>1477</w:t>
      </w:r>
      <w:r>
        <w:rPr>
          <w:rFonts w:hint="eastAsia" w:ascii="仿宋_GB2312" w:hAnsi="仿宋_GB2312" w:eastAsia="仿宋_GB2312" w:cs="仿宋_GB2312"/>
          <w:b w:val="0"/>
          <w:bCs w:val="0"/>
          <w:kern w:val="2"/>
          <w:sz w:val="32"/>
          <w:szCs w:val="32"/>
          <w:lang w:val="en-US" w:eastAsia="zh-Hans" w:bidi="ar-SA"/>
        </w:rPr>
        <w:t>个，减少</w:t>
      </w:r>
      <w:r>
        <w:rPr>
          <w:rFonts w:hint="eastAsia" w:ascii="仿宋_GB2312" w:hAnsi="仿宋_GB2312" w:eastAsia="仿宋_GB2312" w:cs="仿宋_GB2312"/>
          <w:b w:val="0"/>
          <w:bCs w:val="0"/>
          <w:kern w:val="2"/>
          <w:sz w:val="32"/>
          <w:szCs w:val="32"/>
          <w:lang w:val="en-US" w:eastAsia="zh-CN" w:bidi="ar-SA"/>
        </w:rPr>
        <w:t>4</w:t>
      </w:r>
      <w:r>
        <w:rPr>
          <w:rFonts w:hint="default" w:ascii="仿宋_GB2312" w:hAnsi="仿宋_GB2312" w:eastAsia="仿宋_GB2312" w:cs="仿宋_GB2312"/>
          <w:b w:val="0"/>
          <w:bCs w:val="0"/>
          <w:kern w:val="2"/>
          <w:sz w:val="32"/>
          <w:szCs w:val="32"/>
          <w:lang w:val="en-US" w:eastAsia="zh-CN" w:bidi="ar-SA"/>
        </w:rPr>
        <w:t>9</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2</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；较上年减少</w:t>
      </w:r>
      <w:r>
        <w:rPr>
          <w:rFonts w:hint="default" w:ascii="仿宋_GB2312" w:hAnsi="仿宋_GB2312" w:eastAsia="仿宋_GB2312" w:cs="仿宋_GB2312"/>
          <w:b w:val="0"/>
          <w:bCs w:val="0"/>
          <w:kern w:val="2"/>
          <w:sz w:val="32"/>
          <w:szCs w:val="32"/>
          <w:lang w:val="en-US" w:eastAsia="zh-Hans" w:bidi="ar-SA"/>
        </w:rPr>
        <w:t>301</w:t>
      </w:r>
      <w:r>
        <w:rPr>
          <w:rFonts w:hint="eastAsia" w:ascii="仿宋_GB2312" w:hAnsi="仿宋_GB2312" w:eastAsia="仿宋_GB2312" w:cs="仿宋_GB2312"/>
          <w:b w:val="0"/>
          <w:bCs w:val="0"/>
          <w:kern w:val="2"/>
          <w:sz w:val="32"/>
          <w:szCs w:val="32"/>
          <w:lang w:val="en-US" w:eastAsia="zh-Hans" w:bidi="ar-SA"/>
        </w:rPr>
        <w:t>人，减少</w:t>
      </w:r>
      <w:r>
        <w:rPr>
          <w:rFonts w:hint="default" w:ascii="仿宋_GB2312" w:hAnsi="仿宋_GB2312" w:eastAsia="仿宋_GB2312" w:cs="仿宋_GB2312"/>
          <w:b w:val="0"/>
          <w:bCs w:val="0"/>
          <w:kern w:val="2"/>
          <w:sz w:val="32"/>
          <w:szCs w:val="32"/>
          <w:lang w:val="en-US" w:eastAsia="zh-CN" w:bidi="ar-SA"/>
        </w:rPr>
        <w:t>16</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5</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30" w:firstLineChars="300"/>
        <w:jc w:val="left"/>
        <w:textAlignment w:val="auto"/>
        <w:rPr>
          <w:rFonts w:hint="eastAsia" w:ascii="楷体" w:hAnsi="楷体" w:eastAsia="楷体" w:cs="楷体"/>
          <w:b/>
          <w:bCs/>
          <w:color w:val="auto"/>
          <w:sz w:val="30"/>
          <w:szCs w:val="30"/>
          <w:lang w:eastAsia="zh-Hans"/>
        </w:rPr>
      </w:pPr>
      <w:r>
        <w:rPr>
          <w:color w:val="auto"/>
        </w:rPr>
        <w:drawing>
          <wp:anchor distT="0" distB="0" distL="114300" distR="114300" simplePos="0" relativeHeight="251677696" behindDoc="0" locked="0" layoutInCell="1" allowOverlap="1">
            <wp:simplePos x="0" y="0"/>
            <wp:positionH relativeFrom="column">
              <wp:posOffset>361950</wp:posOffset>
            </wp:positionH>
            <wp:positionV relativeFrom="paragraph">
              <wp:posOffset>1356995</wp:posOffset>
            </wp:positionV>
            <wp:extent cx="4572000" cy="2743200"/>
            <wp:effectExtent l="4445" t="4445" r="14605" b="14605"/>
            <wp:wrapTopAndBottom/>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年全省演出经纪机构从业人员</w:t>
      </w:r>
      <w:r>
        <w:rPr>
          <w:rFonts w:hint="default" w:ascii="仿宋_GB2312" w:hAnsi="仿宋_GB2312" w:eastAsia="仿宋_GB2312" w:cs="仿宋_GB2312"/>
          <w:b w:val="0"/>
          <w:bCs w:val="0"/>
          <w:kern w:val="2"/>
          <w:sz w:val="32"/>
          <w:szCs w:val="32"/>
          <w:lang w:val="en-US" w:eastAsia="zh-Hans" w:bidi="ar-SA"/>
        </w:rPr>
        <w:t>1521</w:t>
      </w:r>
      <w:r>
        <w:rPr>
          <w:rFonts w:hint="eastAsia" w:ascii="仿宋_GB2312" w:hAnsi="仿宋_GB2312" w:eastAsia="仿宋_GB2312" w:cs="仿宋_GB2312"/>
          <w:b w:val="0"/>
          <w:bCs w:val="0"/>
          <w:kern w:val="2"/>
          <w:sz w:val="32"/>
          <w:szCs w:val="32"/>
          <w:lang w:val="en-US" w:eastAsia="zh-Hans" w:bidi="ar-SA"/>
        </w:rPr>
        <w:t>人，较疫情前的</w:t>
      </w:r>
      <w:r>
        <w:rPr>
          <w:rFonts w:hint="default" w:ascii="仿宋_GB2312" w:hAnsi="仿宋_GB2312" w:eastAsia="仿宋_GB2312" w:cs="仿宋_GB2312"/>
          <w:b w:val="0"/>
          <w:bCs w:val="0"/>
          <w:kern w:val="2"/>
          <w:sz w:val="32"/>
          <w:szCs w:val="32"/>
          <w:lang w:val="en-US" w:eastAsia="zh-Hans" w:bidi="ar-SA"/>
        </w:rPr>
        <w:t>2019</w:t>
      </w:r>
      <w:r>
        <w:rPr>
          <w:rFonts w:hint="eastAsia" w:ascii="仿宋_GB2312" w:hAnsi="仿宋_GB2312" w:eastAsia="仿宋_GB2312" w:cs="仿宋_GB2312"/>
          <w:b w:val="0"/>
          <w:bCs w:val="0"/>
          <w:kern w:val="2"/>
          <w:sz w:val="32"/>
          <w:szCs w:val="32"/>
          <w:lang w:val="en-US" w:eastAsia="zh-Hans" w:bidi="ar-SA"/>
        </w:rPr>
        <w:t>年减少</w:t>
      </w:r>
      <w:r>
        <w:rPr>
          <w:rFonts w:hint="default" w:ascii="仿宋_GB2312" w:hAnsi="仿宋_GB2312" w:eastAsia="仿宋_GB2312" w:cs="仿宋_GB2312"/>
          <w:b w:val="0"/>
          <w:bCs w:val="0"/>
          <w:kern w:val="2"/>
          <w:sz w:val="32"/>
          <w:szCs w:val="32"/>
          <w:lang w:val="en-US" w:eastAsia="zh-CN" w:bidi="ar-SA"/>
        </w:rPr>
        <w:t>1477</w:t>
      </w:r>
      <w:r>
        <w:rPr>
          <w:rFonts w:hint="eastAsia" w:ascii="仿宋_GB2312" w:hAnsi="仿宋_GB2312" w:eastAsia="仿宋_GB2312" w:cs="仿宋_GB2312"/>
          <w:b w:val="0"/>
          <w:bCs w:val="0"/>
          <w:kern w:val="2"/>
          <w:sz w:val="32"/>
          <w:szCs w:val="32"/>
          <w:lang w:val="en-US" w:eastAsia="zh-Hans" w:bidi="ar-SA"/>
        </w:rPr>
        <w:t>个，减少</w:t>
      </w:r>
      <w:r>
        <w:rPr>
          <w:rFonts w:hint="eastAsia" w:ascii="仿宋_GB2312" w:hAnsi="仿宋_GB2312" w:eastAsia="仿宋_GB2312" w:cs="仿宋_GB2312"/>
          <w:b w:val="0"/>
          <w:bCs w:val="0"/>
          <w:kern w:val="2"/>
          <w:sz w:val="32"/>
          <w:szCs w:val="32"/>
          <w:lang w:val="en-US" w:eastAsia="zh-CN" w:bidi="ar-SA"/>
        </w:rPr>
        <w:t>4</w:t>
      </w:r>
      <w:r>
        <w:rPr>
          <w:rFonts w:hint="default" w:ascii="仿宋_GB2312" w:hAnsi="仿宋_GB2312" w:eastAsia="仿宋_GB2312" w:cs="仿宋_GB2312"/>
          <w:b w:val="0"/>
          <w:bCs w:val="0"/>
          <w:kern w:val="2"/>
          <w:sz w:val="32"/>
          <w:szCs w:val="32"/>
          <w:lang w:val="en-US" w:eastAsia="zh-CN" w:bidi="ar-SA"/>
        </w:rPr>
        <w:t>9</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2</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；较上年减少</w:t>
      </w:r>
      <w:r>
        <w:rPr>
          <w:rFonts w:hint="default" w:ascii="仿宋_GB2312" w:hAnsi="仿宋_GB2312" w:eastAsia="仿宋_GB2312" w:cs="仿宋_GB2312"/>
          <w:b w:val="0"/>
          <w:bCs w:val="0"/>
          <w:kern w:val="2"/>
          <w:sz w:val="32"/>
          <w:szCs w:val="32"/>
          <w:lang w:val="en-US" w:eastAsia="zh-Hans" w:bidi="ar-SA"/>
        </w:rPr>
        <w:t>301</w:t>
      </w:r>
      <w:r>
        <w:rPr>
          <w:rFonts w:hint="eastAsia" w:ascii="仿宋_GB2312" w:hAnsi="仿宋_GB2312" w:eastAsia="仿宋_GB2312" w:cs="仿宋_GB2312"/>
          <w:b w:val="0"/>
          <w:bCs w:val="0"/>
          <w:kern w:val="2"/>
          <w:sz w:val="32"/>
          <w:szCs w:val="32"/>
          <w:lang w:val="en-US" w:eastAsia="zh-Hans" w:bidi="ar-SA"/>
        </w:rPr>
        <w:t>人，减少</w:t>
      </w:r>
      <w:r>
        <w:rPr>
          <w:rFonts w:hint="default" w:ascii="仿宋_GB2312" w:hAnsi="仿宋_GB2312" w:eastAsia="仿宋_GB2312" w:cs="仿宋_GB2312"/>
          <w:b w:val="0"/>
          <w:bCs w:val="0"/>
          <w:kern w:val="2"/>
          <w:sz w:val="32"/>
          <w:szCs w:val="32"/>
          <w:lang w:val="en-US" w:eastAsia="zh-CN" w:bidi="ar-SA"/>
        </w:rPr>
        <w:t>16</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5</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center"/>
        <w:textAlignment w:val="auto"/>
        <w:outlineLvl w:val="9"/>
        <w:rPr>
          <w:rFonts w:hint="eastAsia" w:ascii="宋体" w:hAnsi="宋体" w:eastAsia="宋体" w:cs="宋体"/>
          <w:b/>
          <w:bCs/>
          <w:color w:val="auto"/>
          <w:kern w:val="0"/>
          <w:sz w:val="20"/>
          <w:szCs w:val="20"/>
          <w:shd w:val="clear" w:color="auto" w:fill="FFFFFF"/>
          <w:lang w:val="en-US" w:eastAsia="zh-Hans" w:bidi="ar-SA"/>
        </w:rPr>
      </w:pPr>
      <w:r>
        <w:rPr>
          <w:rFonts w:hint="eastAsia" w:ascii="宋体" w:hAnsi="宋体" w:eastAsia="宋体" w:cs="宋体"/>
          <w:b/>
          <w:bCs/>
          <w:color w:val="auto"/>
          <w:kern w:val="0"/>
          <w:sz w:val="20"/>
          <w:szCs w:val="20"/>
          <w:shd w:val="clear" w:color="auto" w:fill="FFFFFF"/>
          <w:lang w:val="en-US" w:eastAsia="zh-CN" w:bidi="ar-SA"/>
        </w:rPr>
        <w:t>图表</w:t>
      </w:r>
      <w:r>
        <w:rPr>
          <w:rFonts w:hint="eastAsia" w:ascii="宋体" w:hAnsi="宋体" w:cs="宋体"/>
          <w:b/>
          <w:bCs/>
          <w:color w:val="auto"/>
          <w:kern w:val="0"/>
          <w:sz w:val="20"/>
          <w:szCs w:val="20"/>
          <w:shd w:val="clear" w:color="auto" w:fill="FFFFFF"/>
          <w:lang w:val="en-US" w:eastAsia="zh-CN" w:bidi="ar-SA"/>
        </w:rPr>
        <w:t xml:space="preserve">3-2  </w:t>
      </w:r>
      <w:r>
        <w:rPr>
          <w:rFonts w:hint="eastAsia" w:ascii="宋体" w:hAnsi="宋体" w:eastAsia="宋体" w:cs="宋体"/>
          <w:b/>
          <w:bCs/>
          <w:color w:val="auto"/>
          <w:kern w:val="0"/>
          <w:sz w:val="20"/>
          <w:szCs w:val="20"/>
          <w:shd w:val="clear" w:color="auto" w:fill="FFFFFF"/>
          <w:lang w:val="en-US" w:eastAsia="zh-CN" w:bidi="ar-SA"/>
        </w:rPr>
        <w:t>四川省演出经纪机构从业人员数量变化（2019年-2021年）</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eastAsia="zh-Hans"/>
        </w:rPr>
        <w:t>2</w:t>
      </w:r>
      <w:r>
        <w:rPr>
          <w:rFonts w:hint="eastAsia" w:ascii="方正仿宋_GB2312" w:hAnsi="方正仿宋_GB2312" w:eastAsia="方正仿宋_GB2312" w:cs="方正仿宋_GB2312"/>
          <w:b/>
          <w:bCs/>
          <w:color w:val="auto"/>
          <w:sz w:val="32"/>
          <w:szCs w:val="32"/>
          <w:lang w:eastAsia="zh-Hans"/>
        </w:rPr>
        <w:t>、</w:t>
      </w:r>
      <w:r>
        <w:rPr>
          <w:rFonts w:hint="eastAsia" w:ascii="方正仿宋_GB2312" w:hAnsi="方正仿宋_GB2312" w:eastAsia="方正仿宋_GB2312" w:cs="方正仿宋_GB2312"/>
          <w:b/>
          <w:bCs/>
          <w:color w:val="auto"/>
          <w:sz w:val="32"/>
          <w:szCs w:val="32"/>
          <w:lang w:val="en-US" w:eastAsia="zh-Hans"/>
        </w:rPr>
        <w:t>学历结构</w:t>
      </w: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left="0" w:leftChars="0" w:right="0" w:rightChars="0" w:firstLine="0" w:firstLineChars="0"/>
        <w:jc w:val="left"/>
        <w:textAlignment w:val="auto"/>
        <w:outlineLvl w:val="9"/>
        <w:rPr>
          <w:rFonts w:hint="eastAsia" w:ascii="仿宋" w:hAnsi="仿宋" w:eastAsia="仿宋" w:cs="仿宋"/>
          <w:b w:val="0"/>
          <w:bCs w:val="0"/>
          <w:color w:val="auto"/>
          <w:sz w:val="30"/>
          <w:szCs w:val="30"/>
          <w:lang w:val="en-US" w:eastAsia="zh-CN"/>
        </w:rPr>
      </w:pPr>
      <w:r>
        <w:rPr>
          <w:rFonts w:hint="default" w:ascii="仿宋" w:hAnsi="仿宋" w:eastAsia="仿宋" w:cs="仿宋"/>
          <w:b w:val="0"/>
          <w:bCs w:val="0"/>
          <w:color w:val="auto"/>
          <w:sz w:val="30"/>
          <w:szCs w:val="30"/>
          <w:lang w:eastAsia="zh-CN"/>
        </w:rPr>
        <w:t xml:space="preserve">   </w:t>
      </w:r>
      <w:r>
        <w:rPr>
          <w:rFonts w:hint="default" w:ascii="仿宋_GB2312" w:hAnsi="仿宋_GB2312" w:eastAsia="仿宋_GB2312" w:cs="仿宋_GB2312"/>
          <w:b w:val="0"/>
          <w:bCs w:val="0"/>
          <w:kern w:val="2"/>
          <w:sz w:val="32"/>
          <w:szCs w:val="32"/>
          <w:lang w:val="en-US" w:eastAsia="zh-CN" w:bidi="ar-SA"/>
        </w:rPr>
        <w:t xml:space="preserve"> </w:t>
      </w:r>
      <w:r>
        <w:rPr>
          <w:rFonts w:hint="eastAsia" w:ascii="仿宋_GB2312" w:hAnsi="仿宋_GB2312" w:eastAsia="仿宋_GB2312" w:cs="仿宋_GB2312"/>
          <w:b w:val="0"/>
          <w:bCs w:val="0"/>
          <w:kern w:val="2"/>
          <w:sz w:val="32"/>
          <w:szCs w:val="32"/>
          <w:lang w:val="en-US" w:eastAsia="zh-CN" w:bidi="ar-SA"/>
        </w:rPr>
        <w:t>从学历</w:t>
      </w:r>
      <w:r>
        <w:rPr>
          <w:rFonts w:hint="eastAsia" w:ascii="仿宋_GB2312" w:hAnsi="仿宋_GB2312" w:eastAsia="仿宋_GB2312" w:cs="仿宋_GB2312"/>
          <w:b w:val="0"/>
          <w:bCs w:val="0"/>
          <w:kern w:val="2"/>
          <w:sz w:val="32"/>
          <w:szCs w:val="32"/>
          <w:lang w:val="en-US" w:eastAsia="zh-Hans" w:bidi="ar-SA"/>
        </w:rPr>
        <w:t>结构</w:t>
      </w:r>
      <w:r>
        <w:rPr>
          <w:rFonts w:hint="eastAsia" w:ascii="仿宋_GB2312" w:hAnsi="仿宋_GB2312" w:eastAsia="仿宋_GB2312" w:cs="仿宋_GB2312"/>
          <w:b w:val="0"/>
          <w:bCs w:val="0"/>
          <w:kern w:val="2"/>
          <w:sz w:val="32"/>
          <w:szCs w:val="32"/>
          <w:lang w:val="en-US" w:eastAsia="zh-CN" w:bidi="ar-SA"/>
        </w:rPr>
        <w:t>来看，</w:t>
      </w:r>
      <w:r>
        <w:rPr>
          <w:rFonts w:hint="eastAsia" w:ascii="仿宋_GB2312" w:hAnsi="仿宋_GB2312" w:eastAsia="仿宋_GB2312" w:cs="仿宋_GB2312"/>
          <w:b w:val="0"/>
          <w:bCs w:val="0"/>
          <w:kern w:val="2"/>
          <w:sz w:val="32"/>
          <w:szCs w:val="32"/>
          <w:lang w:val="en-US" w:eastAsia="zh-Hans" w:bidi="ar-SA"/>
        </w:rPr>
        <w:t>我省演出经纪机构的从业人员大多数</w:t>
      </w:r>
      <w:r>
        <w:rPr>
          <w:rFonts w:hint="eastAsia" w:ascii="仿宋_GB2312" w:hAnsi="仿宋_GB2312" w:eastAsia="仿宋_GB2312" w:cs="仿宋_GB2312"/>
          <w:b w:val="0"/>
          <w:bCs w:val="0"/>
          <w:kern w:val="2"/>
          <w:sz w:val="32"/>
          <w:szCs w:val="32"/>
          <w:lang w:val="en-US" w:eastAsia="zh-CN" w:bidi="ar-SA"/>
        </w:rPr>
        <w:t>为本科学历，大专及以下学历占</w:t>
      </w:r>
      <w:r>
        <w:rPr>
          <w:rFonts w:hint="default" w:ascii="仿宋_GB2312" w:hAnsi="仿宋_GB2312" w:eastAsia="仿宋_GB2312" w:cs="仿宋_GB2312"/>
          <w:b w:val="0"/>
          <w:bCs w:val="0"/>
          <w:kern w:val="2"/>
          <w:sz w:val="32"/>
          <w:szCs w:val="32"/>
          <w:lang w:val="en-US" w:eastAsia="zh-CN" w:bidi="ar-SA"/>
        </w:rPr>
        <w:t>10</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8</w:t>
      </w:r>
      <w:r>
        <w:rPr>
          <w:rFonts w:hint="eastAsia" w:ascii="仿宋_GB2312" w:hAnsi="仿宋_GB2312" w:eastAsia="仿宋_GB2312" w:cs="仿宋_GB2312"/>
          <w:b w:val="0"/>
          <w:bCs w:val="0"/>
          <w:kern w:val="2"/>
          <w:sz w:val="32"/>
          <w:szCs w:val="32"/>
          <w:lang w:val="en-US" w:eastAsia="zh-CN" w:bidi="ar-SA"/>
        </w:rPr>
        <w:t>0%，本科学历占</w:t>
      </w:r>
      <w:r>
        <w:rPr>
          <w:rFonts w:hint="default" w:ascii="仿宋_GB2312" w:hAnsi="仿宋_GB2312" w:eastAsia="仿宋_GB2312" w:cs="仿宋_GB2312"/>
          <w:b w:val="0"/>
          <w:bCs w:val="0"/>
          <w:kern w:val="2"/>
          <w:sz w:val="32"/>
          <w:szCs w:val="32"/>
          <w:lang w:val="en-US" w:eastAsia="zh-CN" w:bidi="ar-SA"/>
        </w:rPr>
        <w:t>82</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9</w:t>
      </w:r>
      <w:r>
        <w:rPr>
          <w:rFonts w:hint="eastAsia" w:ascii="仿宋_GB2312" w:hAnsi="仿宋_GB2312" w:eastAsia="仿宋_GB2312" w:cs="仿宋_GB2312"/>
          <w:b w:val="0"/>
          <w:bCs w:val="0"/>
          <w:kern w:val="2"/>
          <w:sz w:val="32"/>
          <w:szCs w:val="32"/>
          <w:lang w:val="en-US" w:eastAsia="zh-CN" w:bidi="ar-SA"/>
        </w:rPr>
        <w:t>0%，硕士及以上学历占</w:t>
      </w:r>
      <w:r>
        <w:rPr>
          <w:rFonts w:hint="default" w:ascii="仿宋_GB2312" w:hAnsi="仿宋_GB2312" w:eastAsia="仿宋_GB2312" w:cs="仿宋_GB2312"/>
          <w:b w:val="0"/>
          <w:bCs w:val="0"/>
          <w:kern w:val="2"/>
          <w:sz w:val="32"/>
          <w:szCs w:val="32"/>
          <w:lang w:val="en-US" w:eastAsia="zh-CN" w:bidi="ar-SA"/>
        </w:rPr>
        <w:t>6</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3</w:t>
      </w:r>
      <w:r>
        <w:rPr>
          <w:rFonts w:hint="eastAsia" w:ascii="仿宋_GB2312" w:hAnsi="仿宋_GB2312" w:eastAsia="仿宋_GB2312" w:cs="仿宋_GB2312"/>
          <w:b w:val="0"/>
          <w:bCs w:val="0"/>
          <w:kern w:val="2"/>
          <w:sz w:val="32"/>
          <w:szCs w:val="32"/>
          <w:lang w:val="en-US" w:eastAsia="zh-CN" w:bidi="ar-SA"/>
        </w:rPr>
        <w:t xml:space="preserve">0%。 </w:t>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630" w:firstLineChars="300"/>
        <w:jc w:val="left"/>
        <w:textAlignment w:val="auto"/>
        <w:outlineLvl w:val="9"/>
        <w:rPr>
          <w:rFonts w:hint="eastAsia" w:ascii="楷体" w:hAnsi="楷体" w:eastAsia="楷体" w:cs="楷体"/>
          <w:b/>
          <w:bCs/>
          <w:color w:val="auto"/>
          <w:sz w:val="30"/>
          <w:szCs w:val="30"/>
          <w:lang w:eastAsia="zh-Hans"/>
        </w:rPr>
      </w:pPr>
      <w:r>
        <w:rPr>
          <w:color w:val="auto"/>
        </w:rPr>
        <w:drawing>
          <wp:inline distT="0" distB="0" distL="114300" distR="114300">
            <wp:extent cx="4382135" cy="2632710"/>
            <wp:effectExtent l="0" t="0" r="18415" b="1524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5"/>
                    <a:stretch>
                      <a:fillRect/>
                    </a:stretch>
                  </pic:blipFill>
                  <pic:spPr>
                    <a:xfrm>
                      <a:off x="0" y="0"/>
                      <a:ext cx="4382135" cy="2632710"/>
                    </a:xfrm>
                    <a:prstGeom prst="rect">
                      <a:avLst/>
                    </a:prstGeom>
                    <a:noFill/>
                    <a:ln w="9525">
                      <a:noFill/>
                    </a:ln>
                  </pic:spPr>
                </pic:pic>
              </a:graphicData>
            </a:graphic>
          </wp:inline>
        </w:drawing>
      </w: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center"/>
        <w:textAlignment w:val="auto"/>
        <w:outlineLvl w:val="9"/>
        <w:rPr>
          <w:rFonts w:hint="eastAsia" w:ascii="宋体" w:hAnsi="宋体" w:eastAsia="宋体" w:cs="宋体"/>
          <w:b/>
          <w:bCs/>
          <w:color w:val="auto"/>
          <w:kern w:val="0"/>
          <w:sz w:val="20"/>
          <w:szCs w:val="20"/>
          <w:shd w:val="clear" w:color="auto" w:fill="FFFFFF"/>
          <w:lang w:val="en-US" w:eastAsia="zh-Hans" w:bidi="ar-SA"/>
        </w:rPr>
      </w:pPr>
      <w:r>
        <w:rPr>
          <w:rFonts w:hint="eastAsia" w:ascii="宋体" w:hAnsi="宋体" w:eastAsia="宋体" w:cs="宋体"/>
          <w:b/>
          <w:bCs/>
          <w:color w:val="auto"/>
          <w:kern w:val="0"/>
          <w:sz w:val="20"/>
          <w:szCs w:val="20"/>
          <w:shd w:val="clear" w:color="auto" w:fill="FFFFFF"/>
          <w:lang w:val="en-US" w:eastAsia="zh-CN" w:bidi="ar-SA"/>
        </w:rPr>
        <w:t>图表</w:t>
      </w:r>
      <w:r>
        <w:rPr>
          <w:rFonts w:hint="eastAsia" w:ascii="宋体" w:hAnsi="宋体" w:cs="宋体"/>
          <w:b/>
          <w:bCs/>
          <w:color w:val="auto"/>
          <w:kern w:val="0"/>
          <w:sz w:val="20"/>
          <w:szCs w:val="20"/>
          <w:shd w:val="clear" w:color="auto" w:fill="FFFFFF"/>
          <w:lang w:val="en-US" w:eastAsia="zh-CN" w:bidi="ar-SA"/>
        </w:rPr>
        <w:t xml:space="preserve">3-3  </w:t>
      </w:r>
      <w:r>
        <w:rPr>
          <w:rFonts w:hint="eastAsia" w:ascii="宋体" w:hAnsi="宋体" w:eastAsia="宋体" w:cs="宋体"/>
          <w:b/>
          <w:bCs/>
          <w:color w:val="auto"/>
          <w:kern w:val="0"/>
          <w:sz w:val="20"/>
          <w:szCs w:val="20"/>
          <w:shd w:val="clear" w:color="auto" w:fill="FFFFFF"/>
          <w:lang w:val="en-US" w:eastAsia="zh-CN" w:bidi="ar-SA"/>
        </w:rPr>
        <w:t>四川省演出经纪机构从业人员</w:t>
      </w:r>
      <w:r>
        <w:rPr>
          <w:rFonts w:hint="eastAsia" w:ascii="宋体" w:hAnsi="宋体" w:eastAsia="宋体" w:cs="宋体"/>
          <w:b/>
          <w:bCs/>
          <w:color w:val="auto"/>
          <w:kern w:val="0"/>
          <w:sz w:val="20"/>
          <w:szCs w:val="20"/>
          <w:shd w:val="clear" w:color="auto" w:fill="FFFFFF"/>
          <w:lang w:val="en-US" w:eastAsia="zh-Hans" w:bidi="ar-SA"/>
        </w:rPr>
        <w:t>学历结构图</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eastAsia="zh-Hans"/>
        </w:rPr>
        <w:t>（</w:t>
      </w:r>
      <w:r>
        <w:rPr>
          <w:rFonts w:hint="eastAsia" w:ascii="方正仿宋_GB2312" w:hAnsi="方正仿宋_GB2312" w:eastAsia="方正仿宋_GB2312" w:cs="方正仿宋_GB2312"/>
          <w:b/>
          <w:bCs/>
          <w:color w:val="auto"/>
          <w:sz w:val="32"/>
          <w:szCs w:val="32"/>
          <w:lang w:val="en-US" w:eastAsia="zh-Hans"/>
        </w:rPr>
        <w:t>三</w:t>
      </w:r>
      <w:r>
        <w:rPr>
          <w:rFonts w:hint="eastAsia" w:ascii="方正仿宋_GB2312" w:hAnsi="方正仿宋_GB2312" w:eastAsia="方正仿宋_GB2312" w:cs="方正仿宋_GB2312"/>
          <w:b/>
          <w:bCs/>
          <w:color w:val="auto"/>
          <w:sz w:val="32"/>
          <w:szCs w:val="32"/>
          <w:lang w:eastAsia="zh-Hans"/>
        </w:rPr>
        <w:t>）</w:t>
      </w:r>
      <w:r>
        <w:rPr>
          <w:rFonts w:hint="eastAsia" w:ascii="方正仿宋_GB2312" w:hAnsi="方正仿宋_GB2312" w:eastAsia="方正仿宋_GB2312" w:cs="方正仿宋_GB2312"/>
          <w:b/>
          <w:bCs/>
          <w:color w:val="auto"/>
          <w:sz w:val="32"/>
          <w:szCs w:val="32"/>
          <w:lang w:val="en-US" w:eastAsia="zh-Hans"/>
        </w:rPr>
        <w:t>区域分布</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我省演出经纪行业的发展与地区经济文化发达情况紧密相连，呈现地域发展不平衡态势。</w:t>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年，我省演出经纪机构，尤其是规模型龙头型演出经纪机构主要集中在经济和文化发达的一线城市成都，共计</w:t>
      </w:r>
      <w:r>
        <w:rPr>
          <w:rFonts w:hint="default" w:ascii="仿宋_GB2312" w:hAnsi="仿宋_GB2312" w:eastAsia="仿宋_GB2312" w:cs="仿宋_GB2312"/>
          <w:b w:val="0"/>
          <w:bCs w:val="0"/>
          <w:kern w:val="2"/>
          <w:sz w:val="32"/>
          <w:szCs w:val="32"/>
          <w:lang w:val="en-US" w:eastAsia="zh-Hans" w:bidi="ar-SA"/>
        </w:rPr>
        <w:t>79</w:t>
      </w:r>
      <w:r>
        <w:rPr>
          <w:rFonts w:hint="eastAsia" w:ascii="仿宋_GB2312" w:hAnsi="仿宋_GB2312" w:eastAsia="仿宋_GB2312" w:cs="仿宋_GB2312"/>
          <w:b w:val="0"/>
          <w:bCs w:val="0"/>
          <w:kern w:val="2"/>
          <w:sz w:val="32"/>
          <w:szCs w:val="32"/>
          <w:lang w:val="en-US" w:eastAsia="zh-Hans" w:bidi="ar-SA"/>
        </w:rPr>
        <w:t>个，占</w:t>
      </w:r>
      <w:r>
        <w:rPr>
          <w:rFonts w:hint="default" w:ascii="仿宋_GB2312" w:hAnsi="仿宋_GB2312" w:eastAsia="仿宋_GB2312" w:cs="仿宋_GB2312"/>
          <w:b w:val="0"/>
          <w:bCs w:val="0"/>
          <w:kern w:val="2"/>
          <w:sz w:val="32"/>
          <w:szCs w:val="32"/>
          <w:lang w:val="en-US" w:eastAsia="zh-Hans" w:bidi="ar-SA"/>
        </w:rPr>
        <w:t>71.8</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，绵阳、南充、泸州、宜宾、西昌等二线城市共计</w:t>
      </w:r>
      <w:r>
        <w:rPr>
          <w:rFonts w:hint="default" w:ascii="仿宋_GB2312" w:hAnsi="仿宋_GB2312" w:eastAsia="仿宋_GB2312" w:cs="仿宋_GB2312"/>
          <w:b w:val="0"/>
          <w:bCs w:val="0"/>
          <w:kern w:val="2"/>
          <w:sz w:val="32"/>
          <w:szCs w:val="32"/>
          <w:lang w:val="en-US" w:eastAsia="zh-Hans" w:bidi="ar-SA"/>
        </w:rPr>
        <w:t>31</w:t>
      </w:r>
      <w:r>
        <w:rPr>
          <w:rFonts w:hint="eastAsia" w:ascii="仿宋_GB2312" w:hAnsi="仿宋_GB2312" w:eastAsia="仿宋_GB2312" w:cs="仿宋_GB2312"/>
          <w:b w:val="0"/>
          <w:bCs w:val="0"/>
          <w:kern w:val="2"/>
          <w:sz w:val="32"/>
          <w:szCs w:val="32"/>
          <w:lang w:val="en-US" w:eastAsia="zh-Hans" w:bidi="ar-SA"/>
        </w:rPr>
        <w:t>个，占</w:t>
      </w:r>
      <w:r>
        <w:rPr>
          <w:rFonts w:hint="default" w:ascii="仿宋_GB2312" w:hAnsi="仿宋_GB2312" w:eastAsia="仿宋_GB2312" w:cs="仿宋_GB2312"/>
          <w:b w:val="0"/>
          <w:bCs w:val="0"/>
          <w:kern w:val="2"/>
          <w:sz w:val="32"/>
          <w:szCs w:val="32"/>
          <w:lang w:val="en-US" w:eastAsia="zh-Hans" w:bidi="ar-SA"/>
        </w:rPr>
        <w:t>29.2</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30" w:firstLineChars="300"/>
        <w:jc w:val="left"/>
        <w:textAlignment w:val="auto"/>
        <w:outlineLvl w:val="9"/>
        <w:rPr>
          <w:rFonts w:hint="eastAsia" w:ascii="仿宋" w:hAnsi="仿宋" w:eastAsia="仿宋" w:cs="仿宋"/>
          <w:b w:val="0"/>
          <w:bCs w:val="0"/>
          <w:color w:val="auto"/>
          <w:sz w:val="30"/>
          <w:szCs w:val="30"/>
          <w:lang w:val="en-US" w:eastAsia="zh-Hans"/>
        </w:rPr>
      </w:pPr>
      <w:r>
        <w:rPr>
          <w:color w:val="auto"/>
        </w:rPr>
        <w:drawing>
          <wp:anchor distT="0" distB="0" distL="114300" distR="114300" simplePos="0" relativeHeight="251679744" behindDoc="1" locked="0" layoutInCell="1" allowOverlap="1">
            <wp:simplePos x="0" y="0"/>
            <wp:positionH relativeFrom="column">
              <wp:posOffset>258445</wp:posOffset>
            </wp:positionH>
            <wp:positionV relativeFrom="paragraph">
              <wp:posOffset>149860</wp:posOffset>
            </wp:positionV>
            <wp:extent cx="4572000" cy="2743200"/>
            <wp:effectExtent l="4445" t="4445" r="14605" b="14605"/>
            <wp:wrapTight wrapText="bothSides">
              <wp:wrapPolygon>
                <wp:start x="-21" y="-35"/>
                <wp:lineTo x="-21" y="21565"/>
                <wp:lineTo x="21579" y="21565"/>
                <wp:lineTo x="21579" y="-35"/>
                <wp:lineTo x="-21" y="-35"/>
              </wp:wrapPolygon>
            </wp:wrapTight>
            <wp:docPr id="50"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900" w:firstLineChars="300"/>
        <w:jc w:val="left"/>
        <w:textAlignment w:val="auto"/>
        <w:outlineLvl w:val="9"/>
        <w:rPr>
          <w:rFonts w:hint="eastAsia" w:ascii="仿宋" w:hAnsi="仿宋" w:eastAsia="仿宋" w:cs="仿宋"/>
          <w:b w:val="0"/>
          <w:bCs w:val="0"/>
          <w:color w:val="auto"/>
          <w:sz w:val="30"/>
          <w:szCs w:val="30"/>
          <w:lang w:val="en-US" w:eastAsia="zh-Hans"/>
        </w:rPr>
      </w:pP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both"/>
        <w:textAlignment w:val="auto"/>
        <w:outlineLvl w:val="9"/>
        <w:rPr>
          <w:rFonts w:hint="eastAsia" w:ascii="仿宋" w:hAnsi="仿宋" w:eastAsia="仿宋" w:cs="仿宋"/>
          <w:b w:val="0"/>
          <w:bCs w:val="0"/>
          <w:color w:val="auto"/>
          <w:sz w:val="30"/>
          <w:szCs w:val="30"/>
          <w:lang w:val="en-US" w:eastAsia="zh-CN"/>
        </w:rPr>
      </w:pP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left"/>
        <w:textAlignment w:val="auto"/>
        <w:outlineLvl w:val="9"/>
        <w:rPr>
          <w:rFonts w:hint="eastAsia" w:ascii="仿宋" w:hAnsi="仿宋" w:eastAsia="仿宋" w:cs="仿宋"/>
          <w:b w:val="0"/>
          <w:bCs w:val="0"/>
          <w:color w:val="auto"/>
          <w:sz w:val="30"/>
          <w:szCs w:val="30"/>
          <w:lang w:val="en-US" w:eastAsia="zh-CN"/>
        </w:rPr>
      </w:pP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center"/>
        <w:textAlignment w:val="auto"/>
        <w:outlineLvl w:val="9"/>
        <w:rPr>
          <w:rFonts w:hint="eastAsia" w:ascii="仿宋" w:hAnsi="仿宋" w:eastAsia="仿宋" w:cs="仿宋"/>
          <w:b w:val="0"/>
          <w:bCs w:val="0"/>
          <w:color w:val="auto"/>
          <w:sz w:val="30"/>
          <w:szCs w:val="30"/>
          <w:lang w:val="en-US" w:eastAsia="zh-CN"/>
        </w:rPr>
      </w:pP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center"/>
        <w:textAlignment w:val="auto"/>
        <w:outlineLvl w:val="9"/>
        <w:rPr>
          <w:rFonts w:hint="eastAsia" w:ascii="仿宋" w:hAnsi="仿宋" w:eastAsia="仿宋" w:cs="仿宋"/>
          <w:b w:val="0"/>
          <w:bCs w:val="0"/>
          <w:color w:val="auto"/>
          <w:sz w:val="30"/>
          <w:szCs w:val="30"/>
          <w:lang w:val="en-US" w:eastAsia="zh-CN"/>
        </w:rPr>
      </w:pP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center"/>
        <w:textAlignment w:val="auto"/>
        <w:outlineLvl w:val="9"/>
        <w:rPr>
          <w:rFonts w:hint="eastAsia" w:ascii="仿宋" w:hAnsi="仿宋" w:eastAsia="仿宋" w:cs="仿宋"/>
          <w:b w:val="0"/>
          <w:bCs w:val="0"/>
          <w:color w:val="auto"/>
          <w:sz w:val="30"/>
          <w:szCs w:val="30"/>
          <w:lang w:val="en-US" w:eastAsia="zh-CN"/>
        </w:rPr>
      </w:pP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center"/>
        <w:textAlignment w:val="auto"/>
        <w:outlineLvl w:val="9"/>
        <w:rPr>
          <w:rFonts w:hint="eastAsia" w:ascii="仿宋" w:hAnsi="仿宋" w:eastAsia="仿宋" w:cs="仿宋"/>
          <w:b w:val="0"/>
          <w:bCs w:val="0"/>
          <w:color w:val="auto"/>
          <w:sz w:val="30"/>
          <w:szCs w:val="30"/>
          <w:lang w:val="en-US" w:eastAsia="zh-Hans"/>
        </w:rPr>
      </w:pPr>
      <w:r>
        <w:rPr>
          <w:rFonts w:hint="eastAsia" w:ascii="宋体" w:hAnsi="宋体" w:eastAsia="宋体" w:cs="宋体"/>
          <w:b/>
          <w:bCs/>
          <w:color w:val="auto"/>
          <w:kern w:val="0"/>
          <w:sz w:val="20"/>
          <w:szCs w:val="20"/>
          <w:shd w:val="clear" w:color="auto" w:fill="FFFFFF"/>
          <w:lang w:val="en-US" w:eastAsia="zh-CN" w:bidi="ar-SA"/>
        </w:rPr>
        <w:t>图表</w:t>
      </w:r>
      <w:r>
        <w:rPr>
          <w:rFonts w:hint="eastAsia" w:ascii="宋体" w:hAnsi="宋体" w:cs="宋体"/>
          <w:b/>
          <w:bCs/>
          <w:color w:val="auto"/>
          <w:kern w:val="0"/>
          <w:sz w:val="20"/>
          <w:szCs w:val="20"/>
          <w:shd w:val="clear" w:color="auto" w:fill="FFFFFF"/>
          <w:lang w:val="en-US" w:eastAsia="zh-CN" w:bidi="ar-SA"/>
        </w:rPr>
        <w:t xml:space="preserve">3-4  </w:t>
      </w:r>
      <w:r>
        <w:rPr>
          <w:rFonts w:hint="eastAsia" w:ascii="宋体" w:hAnsi="宋体" w:eastAsia="宋体" w:cs="宋体"/>
          <w:b/>
          <w:bCs/>
          <w:color w:val="auto"/>
          <w:kern w:val="0"/>
          <w:sz w:val="20"/>
          <w:szCs w:val="20"/>
          <w:shd w:val="clear" w:color="auto" w:fill="FFFFFF"/>
          <w:lang w:val="en-US" w:eastAsia="zh-CN" w:bidi="ar-SA"/>
        </w:rPr>
        <w:t>四川省演出经纪机构区域分布（2021年）</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 w:hAnsi="仿宋" w:eastAsia="仿宋" w:cs="仿宋"/>
          <w:b w:val="0"/>
          <w:bCs w:val="0"/>
          <w:color w:val="auto"/>
          <w:sz w:val="30"/>
          <w:szCs w:val="30"/>
          <w:lang w:val="en-US" w:eastAsia="zh-Hans"/>
        </w:rPr>
      </w:pPr>
      <w:r>
        <w:rPr>
          <w:rFonts w:hint="eastAsia" w:ascii="黑体" w:hAnsi="黑体" w:eastAsia="黑体" w:cs="黑体"/>
          <w:b w:val="0"/>
          <w:bCs w:val="0"/>
          <w:color w:val="auto"/>
          <w:sz w:val="32"/>
          <w:szCs w:val="32"/>
          <w:lang w:val="en-US" w:eastAsia="zh-Hans"/>
        </w:rPr>
        <w:t>二、四川</w:t>
      </w:r>
      <w:r>
        <w:rPr>
          <w:rFonts w:hint="eastAsia" w:ascii="黑体" w:hAnsi="黑体" w:eastAsia="黑体" w:cs="黑体"/>
          <w:b w:val="0"/>
          <w:bCs w:val="0"/>
          <w:color w:val="auto"/>
          <w:sz w:val="32"/>
          <w:szCs w:val="32"/>
          <w:lang w:val="en-US" w:eastAsia="zh-CN"/>
        </w:rPr>
        <w:t>省</w:t>
      </w:r>
      <w:r>
        <w:rPr>
          <w:rFonts w:hint="eastAsia" w:ascii="黑体" w:hAnsi="黑体" w:eastAsia="黑体" w:cs="黑体"/>
          <w:b w:val="0"/>
          <w:bCs w:val="0"/>
          <w:color w:val="auto"/>
          <w:sz w:val="32"/>
          <w:szCs w:val="32"/>
          <w:lang w:val="en-US" w:eastAsia="zh-Hans"/>
        </w:rPr>
        <w:t>演出经纪机构经营状况</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（一）经营收入</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年，全省演出经纪机构积极应对疫情给行业</w:t>
      </w:r>
      <w:r>
        <w:rPr>
          <w:rFonts w:hint="default" w:ascii="仿宋_GB2312" w:hAnsi="仿宋_GB2312" w:eastAsia="仿宋_GB2312" w:cs="仿宋_GB2312"/>
          <w:b w:val="0"/>
          <w:bCs w:val="0"/>
          <w:kern w:val="2"/>
          <w:sz w:val="32"/>
          <w:szCs w:val="32"/>
          <w:lang w:val="en-US" w:eastAsia="zh-CN" w:bidi="ar-SA"/>
        </w:rPr>
        <w:t>带来</w:t>
      </w:r>
      <w:r>
        <w:rPr>
          <w:rFonts w:hint="eastAsia" w:ascii="仿宋_GB2312" w:hAnsi="仿宋_GB2312" w:eastAsia="仿宋_GB2312" w:cs="仿宋_GB2312"/>
          <w:b w:val="0"/>
          <w:bCs w:val="0"/>
          <w:kern w:val="2"/>
          <w:sz w:val="32"/>
          <w:szCs w:val="32"/>
          <w:lang w:val="en-US" w:eastAsia="zh-Hans" w:bidi="ar-SA"/>
        </w:rPr>
        <w:t>的</w:t>
      </w:r>
      <w:r>
        <w:rPr>
          <w:rFonts w:hint="default" w:ascii="仿宋_GB2312" w:hAnsi="仿宋_GB2312" w:eastAsia="仿宋_GB2312" w:cs="仿宋_GB2312"/>
          <w:b w:val="0"/>
          <w:bCs w:val="0"/>
          <w:kern w:val="2"/>
          <w:sz w:val="32"/>
          <w:szCs w:val="32"/>
          <w:lang w:val="en-US" w:eastAsia="zh-CN" w:bidi="ar-SA"/>
        </w:rPr>
        <w:t>挑战</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多维度多层次</w:t>
      </w:r>
      <w:r>
        <w:rPr>
          <w:rFonts w:hint="eastAsia" w:ascii="仿宋_GB2312" w:hAnsi="仿宋_GB2312" w:eastAsia="仿宋_GB2312" w:cs="仿宋_GB2312"/>
          <w:b w:val="0"/>
          <w:bCs w:val="0"/>
          <w:kern w:val="2"/>
          <w:sz w:val="32"/>
          <w:szCs w:val="32"/>
          <w:lang w:val="en-US" w:eastAsia="zh-Hans" w:bidi="ar-SA"/>
        </w:rPr>
        <w:t>突破困局，营业收入达到</w:t>
      </w:r>
      <w:r>
        <w:rPr>
          <w:rFonts w:hint="eastAsia" w:ascii="仿宋_GB2312" w:hAnsi="仿宋_GB2312" w:eastAsia="仿宋_GB2312" w:cs="仿宋_GB2312"/>
          <w:b w:val="0"/>
          <w:bCs w:val="0"/>
          <w:kern w:val="2"/>
          <w:sz w:val="32"/>
          <w:szCs w:val="32"/>
          <w:lang w:val="en-US" w:eastAsia="zh-CN" w:bidi="ar-SA"/>
        </w:rPr>
        <w:t>273470万</w:t>
      </w:r>
      <w:r>
        <w:rPr>
          <w:rFonts w:hint="eastAsia" w:ascii="仿宋_GB2312" w:hAnsi="仿宋_GB2312" w:eastAsia="仿宋_GB2312" w:cs="仿宋_GB2312"/>
          <w:b w:val="0"/>
          <w:bCs w:val="0"/>
          <w:kern w:val="2"/>
          <w:sz w:val="32"/>
          <w:szCs w:val="32"/>
          <w:lang w:val="en-US" w:eastAsia="zh-Hans" w:bidi="ar-SA"/>
        </w:rPr>
        <w:t>，虽然较疫情前的</w:t>
      </w:r>
      <w:r>
        <w:rPr>
          <w:rFonts w:hint="default" w:ascii="仿宋_GB2312" w:hAnsi="仿宋_GB2312" w:eastAsia="仿宋_GB2312" w:cs="仿宋_GB2312"/>
          <w:b w:val="0"/>
          <w:bCs w:val="0"/>
          <w:kern w:val="2"/>
          <w:sz w:val="32"/>
          <w:szCs w:val="32"/>
          <w:lang w:val="en-US" w:eastAsia="zh-Hans" w:bidi="ar-SA"/>
        </w:rPr>
        <w:t>2019</w:t>
      </w:r>
      <w:r>
        <w:rPr>
          <w:rFonts w:hint="eastAsia" w:ascii="仿宋_GB2312" w:hAnsi="仿宋_GB2312" w:eastAsia="仿宋_GB2312" w:cs="仿宋_GB2312"/>
          <w:b w:val="0"/>
          <w:bCs w:val="0"/>
          <w:kern w:val="2"/>
          <w:sz w:val="32"/>
          <w:szCs w:val="32"/>
          <w:lang w:val="en-US" w:eastAsia="zh-Hans" w:bidi="ar-SA"/>
        </w:rPr>
        <w:t>年减少</w:t>
      </w:r>
      <w:r>
        <w:rPr>
          <w:rFonts w:hint="default" w:ascii="仿宋_GB2312" w:hAnsi="仿宋_GB2312" w:eastAsia="仿宋_GB2312" w:cs="仿宋_GB2312"/>
          <w:b w:val="0"/>
          <w:bCs w:val="0"/>
          <w:kern w:val="2"/>
          <w:sz w:val="32"/>
          <w:szCs w:val="32"/>
          <w:lang w:val="en-US" w:eastAsia="zh-Hans" w:bidi="ar-SA"/>
        </w:rPr>
        <w:t>109497</w:t>
      </w:r>
      <w:r>
        <w:rPr>
          <w:rFonts w:hint="eastAsia" w:ascii="仿宋_GB2312" w:hAnsi="仿宋_GB2312" w:eastAsia="仿宋_GB2312" w:cs="仿宋_GB2312"/>
          <w:b w:val="0"/>
          <w:bCs w:val="0"/>
          <w:kern w:val="2"/>
          <w:sz w:val="32"/>
          <w:szCs w:val="32"/>
          <w:lang w:val="en-US" w:eastAsia="zh-Hans" w:bidi="ar-SA"/>
        </w:rPr>
        <w:t>万，下降</w:t>
      </w:r>
      <w:r>
        <w:rPr>
          <w:rFonts w:hint="default" w:ascii="仿宋_GB2312" w:hAnsi="仿宋_GB2312" w:eastAsia="仿宋_GB2312" w:cs="仿宋_GB2312"/>
          <w:b w:val="0"/>
          <w:bCs w:val="0"/>
          <w:kern w:val="2"/>
          <w:sz w:val="32"/>
          <w:szCs w:val="32"/>
          <w:lang w:val="en-US" w:eastAsia="zh-Hans" w:bidi="ar-SA"/>
        </w:rPr>
        <w:t>28.6</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，但在机构总数、从业人数下降与疫情反复发生的情况下，营业收入较</w:t>
      </w:r>
      <w:r>
        <w:rPr>
          <w:rFonts w:hint="default" w:ascii="仿宋_GB2312" w:hAnsi="仿宋_GB2312" w:eastAsia="仿宋_GB2312" w:cs="仿宋_GB2312"/>
          <w:b w:val="0"/>
          <w:bCs w:val="0"/>
          <w:kern w:val="2"/>
          <w:sz w:val="32"/>
          <w:szCs w:val="32"/>
          <w:lang w:val="en-US" w:eastAsia="zh-Hans" w:bidi="ar-SA"/>
        </w:rPr>
        <w:t>2020</w:t>
      </w:r>
      <w:r>
        <w:rPr>
          <w:rFonts w:hint="eastAsia" w:ascii="仿宋_GB2312" w:hAnsi="仿宋_GB2312" w:eastAsia="仿宋_GB2312" w:cs="仿宋_GB2312"/>
          <w:b w:val="0"/>
          <w:bCs w:val="0"/>
          <w:kern w:val="2"/>
          <w:sz w:val="32"/>
          <w:szCs w:val="32"/>
          <w:lang w:val="en-US" w:eastAsia="zh-Hans" w:bidi="ar-SA"/>
        </w:rPr>
        <w:t>年增加了</w:t>
      </w:r>
      <w:r>
        <w:rPr>
          <w:rFonts w:hint="default" w:ascii="仿宋_GB2312" w:hAnsi="仿宋_GB2312" w:eastAsia="仿宋_GB2312" w:cs="仿宋_GB2312"/>
          <w:b w:val="0"/>
          <w:bCs w:val="0"/>
          <w:kern w:val="2"/>
          <w:sz w:val="32"/>
          <w:szCs w:val="32"/>
          <w:lang w:val="en-US" w:eastAsia="zh-Hans" w:bidi="ar-SA"/>
        </w:rPr>
        <w:t>219206</w:t>
      </w:r>
      <w:r>
        <w:rPr>
          <w:rFonts w:hint="eastAsia" w:ascii="仿宋_GB2312" w:hAnsi="仿宋_GB2312" w:eastAsia="仿宋_GB2312" w:cs="仿宋_GB2312"/>
          <w:b w:val="0"/>
          <w:bCs w:val="0"/>
          <w:kern w:val="2"/>
          <w:sz w:val="32"/>
          <w:szCs w:val="32"/>
          <w:lang w:val="en-US" w:eastAsia="zh-Hans" w:bidi="ar-SA"/>
        </w:rPr>
        <w:t>万，增长</w:t>
      </w:r>
      <w:r>
        <w:rPr>
          <w:rFonts w:hint="default" w:ascii="仿宋_GB2312" w:hAnsi="仿宋_GB2312" w:eastAsia="仿宋_GB2312" w:cs="仿宋_GB2312"/>
          <w:b w:val="0"/>
          <w:bCs w:val="0"/>
          <w:kern w:val="2"/>
          <w:sz w:val="32"/>
          <w:szCs w:val="32"/>
          <w:lang w:val="en-US" w:eastAsia="zh-Hans" w:bidi="ar-SA"/>
        </w:rPr>
        <w:t>403%</w:t>
      </w:r>
      <w:r>
        <w:rPr>
          <w:rFonts w:hint="eastAsia" w:ascii="仿宋_GB2312" w:hAnsi="仿宋_GB2312" w:eastAsia="仿宋_GB2312" w:cs="仿宋_GB2312"/>
          <w:b w:val="0"/>
          <w:bCs w:val="0"/>
          <w:kern w:val="2"/>
          <w:sz w:val="32"/>
          <w:szCs w:val="32"/>
          <w:lang w:val="en-US" w:eastAsia="zh-Hans" w:bidi="ar-SA"/>
        </w:rPr>
        <w:t>，实现了恢复性增长。</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从产出效益看，</w:t>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年演出经纪机构人均实现营业收入</w:t>
      </w:r>
      <w:r>
        <w:rPr>
          <w:rFonts w:hint="default" w:ascii="仿宋_GB2312" w:hAnsi="仿宋_GB2312" w:eastAsia="仿宋_GB2312" w:cs="仿宋_GB2312"/>
          <w:b w:val="0"/>
          <w:bCs w:val="0"/>
          <w:kern w:val="2"/>
          <w:sz w:val="32"/>
          <w:szCs w:val="32"/>
          <w:lang w:val="en-US" w:eastAsia="zh-Hans" w:bidi="ar-SA"/>
        </w:rPr>
        <w:t>179</w:t>
      </w:r>
      <w:r>
        <w:rPr>
          <w:rFonts w:hint="eastAsia" w:ascii="仿宋_GB2312" w:hAnsi="仿宋_GB2312" w:eastAsia="仿宋_GB2312" w:cs="仿宋_GB2312"/>
          <w:b w:val="0"/>
          <w:bCs w:val="0"/>
          <w:kern w:val="2"/>
          <w:sz w:val="32"/>
          <w:szCs w:val="32"/>
          <w:lang w:val="en-US" w:eastAsia="zh-Hans" w:bidi="ar-SA"/>
        </w:rPr>
        <w:t>万</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人。从经营效益看，收入利润率</w:t>
      </w:r>
      <w:r>
        <w:rPr>
          <w:rFonts w:hint="default" w:ascii="仿宋_GB2312" w:hAnsi="仿宋_GB2312" w:eastAsia="仿宋_GB2312" w:cs="仿宋_GB2312"/>
          <w:b w:val="0"/>
          <w:bCs w:val="0"/>
          <w:kern w:val="2"/>
          <w:sz w:val="32"/>
          <w:szCs w:val="32"/>
          <w:lang w:val="en-US" w:eastAsia="zh-Hans" w:bidi="ar-SA"/>
        </w:rPr>
        <w:t>22.2</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，比</w:t>
      </w:r>
      <w:r>
        <w:rPr>
          <w:rFonts w:hint="default" w:ascii="仿宋_GB2312" w:hAnsi="仿宋_GB2312" w:eastAsia="仿宋_GB2312" w:cs="仿宋_GB2312"/>
          <w:b w:val="0"/>
          <w:bCs w:val="0"/>
          <w:kern w:val="2"/>
          <w:sz w:val="32"/>
          <w:szCs w:val="32"/>
          <w:lang w:val="en-US" w:eastAsia="zh-Hans" w:bidi="ar-SA"/>
        </w:rPr>
        <w:t>2020</w:t>
      </w:r>
      <w:r>
        <w:rPr>
          <w:rFonts w:hint="eastAsia" w:ascii="仿宋_GB2312" w:hAnsi="仿宋_GB2312" w:eastAsia="仿宋_GB2312" w:cs="仿宋_GB2312"/>
          <w:b w:val="0"/>
          <w:bCs w:val="0"/>
          <w:kern w:val="2"/>
          <w:sz w:val="32"/>
          <w:szCs w:val="32"/>
          <w:lang w:val="en-US" w:eastAsia="zh-Hans" w:bidi="ar-SA"/>
        </w:rPr>
        <w:t>年提高</w:t>
      </w:r>
      <w:r>
        <w:rPr>
          <w:rFonts w:hint="default" w:ascii="仿宋_GB2312" w:hAnsi="仿宋_GB2312" w:eastAsia="仿宋_GB2312" w:cs="仿宋_GB2312"/>
          <w:b w:val="0"/>
          <w:bCs w:val="0"/>
          <w:kern w:val="2"/>
          <w:sz w:val="32"/>
          <w:szCs w:val="32"/>
          <w:lang w:val="en-US" w:eastAsia="zh-Hans" w:bidi="ar-SA"/>
        </w:rPr>
        <w:t>6.5</w:t>
      </w:r>
      <w:r>
        <w:rPr>
          <w:rFonts w:hint="eastAsia" w:ascii="仿宋_GB2312" w:hAnsi="仿宋_GB2312" w:eastAsia="仿宋_GB2312" w:cs="仿宋_GB2312"/>
          <w:b w:val="0"/>
          <w:bCs w:val="0"/>
          <w:kern w:val="2"/>
          <w:sz w:val="32"/>
          <w:szCs w:val="32"/>
          <w:lang w:val="en-US" w:eastAsia="zh-Hans" w:bidi="ar-SA"/>
        </w:rPr>
        <w:t>个百分点。从经营成本看，企业成本费用率</w:t>
      </w:r>
      <w:r>
        <w:rPr>
          <w:rFonts w:hint="default" w:ascii="仿宋_GB2312" w:hAnsi="仿宋_GB2312" w:eastAsia="仿宋_GB2312" w:cs="仿宋_GB2312"/>
          <w:b w:val="0"/>
          <w:bCs w:val="0"/>
          <w:kern w:val="2"/>
          <w:sz w:val="32"/>
          <w:szCs w:val="32"/>
          <w:lang w:val="en-US" w:eastAsia="zh-Hans" w:bidi="ar-SA"/>
        </w:rPr>
        <w:t>77.8</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，较</w:t>
      </w:r>
      <w:r>
        <w:rPr>
          <w:rFonts w:hint="default" w:ascii="仿宋_GB2312" w:hAnsi="仿宋_GB2312" w:eastAsia="仿宋_GB2312" w:cs="仿宋_GB2312"/>
          <w:b w:val="0"/>
          <w:bCs w:val="0"/>
          <w:kern w:val="2"/>
          <w:sz w:val="32"/>
          <w:szCs w:val="32"/>
          <w:lang w:val="en-US" w:eastAsia="zh-Hans" w:bidi="ar-SA"/>
        </w:rPr>
        <w:t>2020</w:t>
      </w:r>
      <w:r>
        <w:rPr>
          <w:rFonts w:hint="eastAsia" w:ascii="仿宋_GB2312" w:hAnsi="仿宋_GB2312" w:eastAsia="仿宋_GB2312" w:cs="仿宋_GB2312"/>
          <w:b w:val="0"/>
          <w:bCs w:val="0"/>
          <w:kern w:val="2"/>
          <w:sz w:val="32"/>
          <w:szCs w:val="32"/>
          <w:lang w:val="en-US" w:eastAsia="zh-Hans" w:bidi="ar-SA"/>
        </w:rPr>
        <w:t>年下降</w:t>
      </w:r>
      <w:r>
        <w:rPr>
          <w:rFonts w:hint="default" w:ascii="仿宋_GB2312" w:hAnsi="仿宋_GB2312" w:eastAsia="仿宋_GB2312" w:cs="仿宋_GB2312"/>
          <w:b w:val="0"/>
          <w:bCs w:val="0"/>
          <w:kern w:val="2"/>
          <w:sz w:val="32"/>
          <w:szCs w:val="32"/>
          <w:lang w:val="en-US" w:eastAsia="zh-Hans" w:bidi="ar-SA"/>
        </w:rPr>
        <w:t>6.5</w:t>
      </w:r>
      <w:r>
        <w:rPr>
          <w:rFonts w:hint="eastAsia" w:ascii="仿宋_GB2312" w:hAnsi="仿宋_GB2312" w:eastAsia="仿宋_GB2312" w:cs="仿宋_GB2312"/>
          <w:b w:val="0"/>
          <w:bCs w:val="0"/>
          <w:kern w:val="2"/>
          <w:sz w:val="32"/>
          <w:szCs w:val="32"/>
          <w:lang w:val="en-US" w:eastAsia="zh-Hans" w:bidi="ar-SA"/>
        </w:rPr>
        <w:t>个百分点。</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735" w:firstLineChars="350"/>
        <w:jc w:val="left"/>
        <w:textAlignment w:val="auto"/>
        <w:outlineLvl w:val="9"/>
        <w:rPr>
          <w:rFonts w:hint="eastAsia" w:ascii="仿宋" w:hAnsi="仿宋" w:eastAsia="仿宋" w:cs="仿宋"/>
          <w:b w:val="0"/>
          <w:bCs w:val="0"/>
          <w:color w:val="auto"/>
          <w:sz w:val="30"/>
          <w:szCs w:val="30"/>
          <w:lang w:val="en-US" w:eastAsia="zh-Hans"/>
        </w:rPr>
      </w:pPr>
      <w:r>
        <w:rPr>
          <w:color w:val="auto"/>
        </w:rPr>
        <w:drawing>
          <wp:anchor distT="0" distB="0" distL="114300" distR="114300" simplePos="0" relativeHeight="251678720" behindDoc="0" locked="0" layoutInCell="1" allowOverlap="1">
            <wp:simplePos x="0" y="0"/>
            <wp:positionH relativeFrom="column">
              <wp:posOffset>431165</wp:posOffset>
            </wp:positionH>
            <wp:positionV relativeFrom="paragraph">
              <wp:posOffset>244475</wp:posOffset>
            </wp:positionV>
            <wp:extent cx="4572000" cy="2743200"/>
            <wp:effectExtent l="4445" t="4445" r="14605" b="14605"/>
            <wp:wrapSquare wrapText="bothSides"/>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1050" w:firstLineChars="350"/>
        <w:jc w:val="left"/>
        <w:textAlignment w:val="auto"/>
        <w:outlineLvl w:val="9"/>
        <w:rPr>
          <w:rFonts w:hint="eastAsia" w:ascii="仿宋" w:hAnsi="仿宋" w:eastAsia="仿宋" w:cs="仿宋"/>
          <w:b w:val="0"/>
          <w:bCs w:val="0"/>
          <w:color w:val="auto"/>
          <w:sz w:val="30"/>
          <w:szCs w:val="30"/>
          <w:lang w:val="en-US" w:eastAsia="zh-Hans"/>
        </w:rPr>
      </w:pP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1050" w:firstLineChars="350"/>
        <w:jc w:val="left"/>
        <w:textAlignment w:val="auto"/>
        <w:outlineLvl w:val="9"/>
        <w:rPr>
          <w:rFonts w:hint="eastAsia" w:ascii="仿宋" w:hAnsi="仿宋" w:eastAsia="仿宋" w:cs="仿宋"/>
          <w:b w:val="0"/>
          <w:bCs w:val="0"/>
          <w:color w:val="auto"/>
          <w:sz w:val="30"/>
          <w:szCs w:val="30"/>
          <w:lang w:val="en-US" w:eastAsia="zh-Hans"/>
        </w:rPr>
      </w:pP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1050" w:firstLineChars="350"/>
        <w:jc w:val="left"/>
        <w:textAlignment w:val="auto"/>
        <w:outlineLvl w:val="9"/>
        <w:rPr>
          <w:rFonts w:hint="eastAsia" w:ascii="仿宋" w:hAnsi="仿宋" w:eastAsia="仿宋" w:cs="仿宋"/>
          <w:b w:val="0"/>
          <w:bCs w:val="0"/>
          <w:color w:val="auto"/>
          <w:sz w:val="30"/>
          <w:szCs w:val="30"/>
          <w:lang w:val="en-US" w:eastAsia="zh-Hans"/>
        </w:rPr>
      </w:pP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1050" w:firstLineChars="350"/>
        <w:jc w:val="left"/>
        <w:textAlignment w:val="auto"/>
        <w:outlineLvl w:val="9"/>
        <w:rPr>
          <w:rFonts w:hint="eastAsia" w:ascii="仿宋" w:hAnsi="仿宋" w:eastAsia="仿宋" w:cs="仿宋"/>
          <w:b w:val="0"/>
          <w:bCs w:val="0"/>
          <w:color w:val="auto"/>
          <w:sz w:val="30"/>
          <w:szCs w:val="30"/>
          <w:lang w:val="en-US" w:eastAsia="zh-Hans"/>
        </w:rPr>
      </w:pP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1050" w:firstLineChars="350"/>
        <w:jc w:val="left"/>
        <w:textAlignment w:val="auto"/>
        <w:outlineLvl w:val="9"/>
        <w:rPr>
          <w:rFonts w:hint="eastAsia" w:ascii="仿宋" w:hAnsi="仿宋" w:eastAsia="仿宋" w:cs="仿宋"/>
          <w:b w:val="0"/>
          <w:bCs w:val="0"/>
          <w:color w:val="auto"/>
          <w:sz w:val="30"/>
          <w:szCs w:val="30"/>
          <w:lang w:val="en-US" w:eastAsia="zh-Hans"/>
        </w:rPr>
      </w:pP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both"/>
        <w:textAlignment w:val="auto"/>
        <w:outlineLvl w:val="9"/>
        <w:rPr>
          <w:rFonts w:hint="eastAsia" w:ascii="仿宋" w:hAnsi="仿宋" w:eastAsia="仿宋" w:cs="仿宋"/>
          <w:b w:val="0"/>
          <w:bCs w:val="0"/>
          <w:color w:val="auto"/>
          <w:sz w:val="30"/>
          <w:szCs w:val="30"/>
          <w:lang w:val="en-US" w:eastAsia="zh-CN"/>
        </w:rPr>
      </w:pP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center"/>
        <w:textAlignment w:val="auto"/>
        <w:outlineLvl w:val="9"/>
        <w:rPr>
          <w:rFonts w:hint="eastAsia" w:ascii="仿宋" w:hAnsi="仿宋" w:eastAsia="仿宋" w:cs="仿宋"/>
          <w:b w:val="0"/>
          <w:bCs w:val="0"/>
          <w:color w:val="auto"/>
          <w:sz w:val="30"/>
          <w:szCs w:val="30"/>
          <w:lang w:val="en-US" w:eastAsia="zh-CN"/>
        </w:rPr>
      </w:pPr>
    </w:p>
    <w:p>
      <w:pPr>
        <w:keepNext w:val="0"/>
        <w:keepLines w:val="0"/>
        <w:pageBreakBefore w:val="0"/>
        <w:widowControl w:val="0"/>
        <w:tabs>
          <w:tab w:val="right" w:pos="7406"/>
        </w:tabs>
        <w:kinsoku/>
        <w:wordWrap/>
        <w:overflowPunct/>
        <w:topLinePunct w:val="0"/>
        <w:autoSpaceDE/>
        <w:autoSpaceDN/>
        <w:bidi w:val="0"/>
        <w:adjustRightInd/>
        <w:snapToGrid/>
        <w:spacing w:line="620" w:lineRule="exact"/>
        <w:ind w:right="0" w:rightChars="0"/>
        <w:jc w:val="center"/>
        <w:textAlignment w:val="auto"/>
        <w:outlineLvl w:val="9"/>
        <w:rPr>
          <w:rFonts w:hint="eastAsia" w:ascii="宋体" w:hAnsi="宋体" w:cs="宋体"/>
          <w:b/>
          <w:bCs/>
          <w:color w:val="auto"/>
          <w:kern w:val="0"/>
          <w:sz w:val="20"/>
          <w:szCs w:val="20"/>
          <w:shd w:val="clear" w:color="auto" w:fill="FFFFFF"/>
          <w:lang w:val="en-US" w:eastAsia="zh-CN" w:bidi="ar-SA"/>
        </w:rPr>
      </w:pPr>
      <w:r>
        <w:rPr>
          <w:rFonts w:hint="eastAsia" w:ascii="宋体" w:hAnsi="宋体" w:cs="宋体"/>
          <w:b/>
          <w:bCs/>
          <w:color w:val="auto"/>
          <w:kern w:val="0"/>
          <w:sz w:val="20"/>
          <w:szCs w:val="20"/>
          <w:shd w:val="clear" w:color="auto" w:fill="FFFFFF"/>
          <w:lang w:val="en-US" w:eastAsia="zh-CN" w:bidi="ar-SA"/>
        </w:rPr>
        <w:t>图表3-5  四川省演出经纪机构营业收入变化（2019年-2021年）</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default" w:ascii="方正仿宋_GB2312" w:hAnsi="方正仿宋_GB2312" w:eastAsia="方正仿宋_GB2312" w:cs="方正仿宋_GB2312"/>
          <w:b/>
          <w:bCs/>
          <w:color w:val="auto"/>
          <w:sz w:val="32"/>
          <w:szCs w:val="32"/>
          <w:lang w:val="en-US" w:eastAsia="zh-CN"/>
        </w:rPr>
      </w:pPr>
      <w:r>
        <w:rPr>
          <w:rFonts w:hint="eastAsia" w:ascii="方正仿宋_GB2312" w:hAnsi="方正仿宋_GB2312" w:eastAsia="方正仿宋_GB2312" w:cs="方正仿宋_GB2312"/>
          <w:b/>
          <w:bCs/>
          <w:color w:val="auto"/>
          <w:sz w:val="32"/>
          <w:szCs w:val="32"/>
          <w:lang w:val="en-US" w:eastAsia="zh-Hans"/>
        </w:rPr>
        <w:t>（二）</w:t>
      </w:r>
      <w:r>
        <w:rPr>
          <w:rFonts w:hint="eastAsia" w:ascii="方正仿宋_GB2312" w:hAnsi="方正仿宋_GB2312" w:eastAsia="方正仿宋_GB2312" w:cs="方正仿宋_GB2312"/>
          <w:b/>
          <w:bCs/>
          <w:color w:val="auto"/>
          <w:sz w:val="32"/>
          <w:szCs w:val="32"/>
          <w:lang w:val="en-US" w:eastAsia="zh-CN"/>
        </w:rPr>
        <w:t>运营项目情况</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按服务对象划分，演出经纪机构分为项目经纪与艺人经纪两种类型。目前，我省</w:t>
      </w:r>
      <w:r>
        <w:rPr>
          <w:rFonts w:hint="default" w:ascii="仿宋_GB2312" w:hAnsi="仿宋_GB2312" w:eastAsia="仿宋_GB2312" w:cs="仿宋_GB2312"/>
          <w:b w:val="0"/>
          <w:bCs w:val="0"/>
          <w:kern w:val="2"/>
          <w:sz w:val="32"/>
          <w:szCs w:val="32"/>
          <w:lang w:val="en-US" w:eastAsia="zh-Hans" w:bidi="ar-SA"/>
        </w:rPr>
        <w:t>95%</w:t>
      </w:r>
      <w:r>
        <w:rPr>
          <w:rFonts w:hint="eastAsia" w:ascii="仿宋_GB2312" w:hAnsi="仿宋_GB2312" w:eastAsia="仿宋_GB2312" w:cs="仿宋_GB2312"/>
          <w:b w:val="0"/>
          <w:bCs w:val="0"/>
          <w:kern w:val="2"/>
          <w:sz w:val="32"/>
          <w:szCs w:val="32"/>
          <w:lang w:val="en-US" w:eastAsia="zh-Hans" w:bidi="ar-SA"/>
        </w:rPr>
        <w:t>以上的演出经纪机构经纪对象是演出项目与演出剧团。仅有</w:t>
      </w:r>
      <w:r>
        <w:rPr>
          <w:rFonts w:hint="default" w:ascii="仿宋_GB2312" w:hAnsi="仿宋_GB2312" w:eastAsia="仿宋_GB2312" w:cs="仿宋_GB2312"/>
          <w:b w:val="0"/>
          <w:bCs w:val="0"/>
          <w:kern w:val="2"/>
          <w:sz w:val="32"/>
          <w:szCs w:val="32"/>
          <w:lang w:val="en-US" w:eastAsia="zh-Hans" w:bidi="ar-SA"/>
        </w:rPr>
        <w:t>5%</w:t>
      </w:r>
      <w:r>
        <w:rPr>
          <w:rFonts w:hint="eastAsia" w:ascii="仿宋_GB2312" w:hAnsi="仿宋_GB2312" w:eastAsia="仿宋_GB2312" w:cs="仿宋_GB2312"/>
          <w:b w:val="0"/>
          <w:bCs w:val="0"/>
          <w:kern w:val="2"/>
          <w:sz w:val="32"/>
          <w:szCs w:val="32"/>
          <w:lang w:val="en-US" w:eastAsia="zh-Hans" w:bidi="ar-SA"/>
        </w:rPr>
        <w:t>的演出经纪机构从事的是艺人经纪，经纪对象主要是独立音乐人、脱口秀与说唱艺人。</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1</w:t>
      </w:r>
      <w:r>
        <w:rPr>
          <w:rFonts w:hint="eastAsia" w:ascii="方正仿宋_GB2312" w:hAnsi="方正仿宋_GB2312" w:eastAsia="方正仿宋_GB2312" w:cs="方正仿宋_GB2312"/>
          <w:b/>
          <w:bCs/>
          <w:color w:val="auto"/>
          <w:sz w:val="32"/>
          <w:szCs w:val="32"/>
          <w:lang w:val="en-US" w:eastAsia="zh-Hans"/>
        </w:rPr>
        <w:t>、运营项目类型</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我省演出经纪机构坚持</w:t>
      </w:r>
      <w:r>
        <w:rPr>
          <w:rFonts w:hint="eastAsia" w:ascii="仿宋_GB2312" w:hAnsi="仿宋_GB2312" w:eastAsia="仿宋_GB2312" w:cs="仿宋_GB2312"/>
          <w:b w:val="0"/>
          <w:bCs w:val="0"/>
          <w:kern w:val="2"/>
          <w:sz w:val="32"/>
          <w:szCs w:val="32"/>
          <w:lang w:val="en-US" w:eastAsia="zh-CN" w:bidi="ar-SA"/>
        </w:rPr>
        <w:t>以社会主义核心价值观为引领，</w:t>
      </w:r>
      <w:r>
        <w:rPr>
          <w:rFonts w:hint="eastAsia" w:ascii="仿宋_GB2312" w:hAnsi="仿宋_GB2312" w:eastAsia="仿宋_GB2312" w:cs="仿宋_GB2312"/>
          <w:b w:val="0"/>
          <w:bCs w:val="0"/>
          <w:kern w:val="2"/>
          <w:sz w:val="32"/>
          <w:szCs w:val="32"/>
          <w:lang w:val="en-US" w:eastAsia="zh-Hans" w:bidi="ar-SA"/>
        </w:rPr>
        <w:t>积极引进与运营推出丰富多元的优质演出项目。包含：话剧、歌剧、音乐剧、舞剧、音乐会、演唱会、曲艺、杂技、儿童剧、livehouse、脱口秀等不同艺术门类的演出项目。</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年，共引进与运营推出各类演出项目</w:t>
      </w:r>
      <w:r>
        <w:rPr>
          <w:rFonts w:hint="default" w:ascii="仿宋_GB2312" w:hAnsi="仿宋_GB2312" w:eastAsia="仿宋_GB2312" w:cs="仿宋_GB2312"/>
          <w:b w:val="0"/>
          <w:bCs w:val="0"/>
          <w:kern w:val="2"/>
          <w:sz w:val="32"/>
          <w:szCs w:val="32"/>
          <w:lang w:val="en-US" w:eastAsia="zh-Hans" w:bidi="ar-SA"/>
        </w:rPr>
        <w:t>2656</w:t>
      </w:r>
      <w:r>
        <w:rPr>
          <w:rFonts w:hint="eastAsia" w:ascii="仿宋_GB2312" w:hAnsi="仿宋_GB2312" w:eastAsia="仿宋_GB2312" w:cs="仿宋_GB2312"/>
          <w:b w:val="0"/>
          <w:bCs w:val="0"/>
          <w:kern w:val="2"/>
          <w:sz w:val="32"/>
          <w:szCs w:val="32"/>
          <w:lang w:val="en-US" w:eastAsia="zh-Hans" w:bidi="ar-SA"/>
        </w:rPr>
        <w:t>个，演出场次</w:t>
      </w:r>
      <w:r>
        <w:rPr>
          <w:rFonts w:hint="default" w:ascii="仿宋_GB2312" w:hAnsi="仿宋_GB2312" w:eastAsia="仿宋_GB2312" w:cs="仿宋_GB2312"/>
          <w:b w:val="0"/>
          <w:bCs w:val="0"/>
          <w:kern w:val="2"/>
          <w:sz w:val="32"/>
          <w:szCs w:val="32"/>
          <w:lang w:val="en-US" w:eastAsia="zh-Hans" w:bidi="ar-SA"/>
        </w:rPr>
        <w:t>10216</w:t>
      </w:r>
      <w:r>
        <w:rPr>
          <w:rFonts w:hint="eastAsia" w:ascii="仿宋_GB2312" w:hAnsi="仿宋_GB2312" w:eastAsia="仿宋_GB2312" w:cs="仿宋_GB2312"/>
          <w:b w:val="0"/>
          <w:bCs w:val="0"/>
          <w:kern w:val="2"/>
          <w:sz w:val="32"/>
          <w:szCs w:val="32"/>
          <w:lang w:val="en-US" w:eastAsia="zh-Hans" w:bidi="ar-SA"/>
        </w:rPr>
        <w:t>场。其中包括：包括舞剧《朱鹮》《大饭店》、话剧《如梦之梦》《无人生还》《死亡陷阱》</w:t>
      </w:r>
      <w:r>
        <w:rPr>
          <w:rFonts w:hint="eastAsia" w:ascii="仿宋_GB2312" w:hAnsi="仿宋_GB2312" w:eastAsia="仿宋_GB2312" w:cs="仿宋_GB2312"/>
          <w:b w:val="0"/>
          <w:bCs w:val="0"/>
          <w:kern w:val="2"/>
          <w:sz w:val="32"/>
          <w:szCs w:val="32"/>
          <w:lang w:val="en-US" w:eastAsia="zh-CN" w:bidi="ar-SA"/>
        </w:rPr>
        <w:t>、音乐剧</w:t>
      </w:r>
      <w:r>
        <w:rPr>
          <w:rFonts w:hint="eastAsia" w:ascii="仿宋_GB2312" w:hAnsi="仿宋_GB2312" w:eastAsia="仿宋_GB2312" w:cs="仿宋_GB2312"/>
          <w:b w:val="0"/>
          <w:bCs w:val="0"/>
          <w:kern w:val="2"/>
          <w:sz w:val="32"/>
          <w:szCs w:val="32"/>
          <w:lang w:val="en-US" w:eastAsia="zh-Hans" w:bidi="ar-SA"/>
        </w:rPr>
        <w:t>《赵氏孤儿》</w:t>
      </w:r>
      <w:r>
        <w:rPr>
          <w:rFonts w:hint="eastAsia" w:ascii="仿宋_GB2312" w:hAnsi="仿宋_GB2312" w:eastAsia="仿宋_GB2312" w:cs="仿宋_GB2312"/>
          <w:b w:val="0"/>
          <w:bCs w:val="0"/>
          <w:kern w:val="2"/>
          <w:sz w:val="32"/>
          <w:szCs w:val="32"/>
          <w:lang w:val="en-US" w:eastAsia="zh-CN" w:bidi="ar-SA"/>
        </w:rPr>
        <w:t>《献给阿尔吉侬</w:t>
      </w:r>
      <w:r>
        <w:rPr>
          <w:rFonts w:hint="default" w:ascii="仿宋_GB2312" w:hAnsi="仿宋_GB2312" w:eastAsia="仿宋_GB2312" w:cs="仿宋_GB2312"/>
          <w:b w:val="0"/>
          <w:bCs w:val="0"/>
          <w:kern w:val="2"/>
          <w:sz w:val="32"/>
          <w:szCs w:val="32"/>
          <w:lang w:val="en-US" w:eastAsia="zh-CN" w:bidi="ar-SA"/>
        </w:rPr>
        <w:t>的花束</w:t>
      </w:r>
      <w:r>
        <w:rPr>
          <w:rFonts w:hint="eastAsia" w:ascii="仿宋_GB2312" w:hAnsi="仿宋_GB2312" w:eastAsia="仿宋_GB2312" w:cs="仿宋_GB2312"/>
          <w:b w:val="0"/>
          <w:bCs w:val="0"/>
          <w:kern w:val="2"/>
          <w:sz w:val="32"/>
          <w:szCs w:val="32"/>
          <w:lang w:val="en-US" w:eastAsia="zh-Hans" w:bidi="ar-SA"/>
        </w:rPr>
        <w:t>》、金钟奖系列交响音乐会等票房号召力强的优秀剧目，以及深受当代年轻人喜欢包含</w:t>
      </w:r>
      <w:r>
        <w:rPr>
          <w:rFonts w:hint="eastAsia" w:ascii="仿宋_GB2312" w:hAnsi="仿宋_GB2312" w:eastAsia="仿宋_GB2312" w:cs="仿宋_GB2312"/>
          <w:b w:val="0"/>
          <w:bCs w:val="0"/>
          <w:kern w:val="2"/>
          <w:sz w:val="32"/>
          <w:szCs w:val="32"/>
          <w:lang w:val="en-US" w:eastAsia="zh-CN" w:bidi="ar-SA"/>
        </w:rPr>
        <w:t>民谣、摇滚、爵士、说唱等类型</w:t>
      </w:r>
      <w:r>
        <w:rPr>
          <w:rFonts w:hint="eastAsia" w:ascii="仿宋_GB2312" w:hAnsi="仿宋_GB2312" w:eastAsia="仿宋_GB2312" w:cs="仿宋_GB2312"/>
          <w:b w:val="0"/>
          <w:bCs w:val="0"/>
          <w:kern w:val="2"/>
          <w:sz w:val="32"/>
          <w:szCs w:val="32"/>
          <w:lang w:val="en-US" w:eastAsia="zh-Hans" w:bidi="ar-SA"/>
        </w:rPr>
        <w:t>的livehouse演出项目。</w:t>
      </w:r>
    </w:p>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黑体" w:hAnsi="黑体" w:eastAsia="黑体" w:cs="黑体"/>
          <w:b w:val="0"/>
          <w:bCs w:val="0"/>
          <w:color w:val="auto"/>
          <w:sz w:val="30"/>
          <w:szCs w:val="30"/>
          <w:lang w:val="en-US" w:eastAsia="zh-Hans"/>
        </w:rPr>
      </w:pPr>
      <w:r>
        <w:rPr>
          <w:rFonts w:hint="eastAsia" w:ascii="宋体" w:hAnsi="宋体" w:cs="宋体"/>
          <w:b/>
          <w:bCs/>
          <w:color w:val="auto"/>
          <w:kern w:val="0"/>
          <w:sz w:val="20"/>
          <w:szCs w:val="20"/>
          <w:shd w:val="clear" w:color="auto" w:fill="FFFFFF"/>
          <w:lang w:val="en-US" w:eastAsia="zh-CN" w:bidi="ar-SA"/>
        </w:rPr>
        <w:t xml:space="preserve">图表3-6  </w:t>
      </w:r>
      <w:r>
        <w:rPr>
          <w:rFonts w:hint="eastAsia" w:ascii="宋体" w:hAnsi="宋体" w:cs="宋体"/>
          <w:b/>
          <w:bCs/>
          <w:color w:val="auto"/>
          <w:kern w:val="0"/>
          <w:sz w:val="20"/>
          <w:szCs w:val="20"/>
          <w:shd w:val="clear" w:color="auto" w:fill="FFFFFF"/>
          <w:lang w:val="en-US" w:eastAsia="zh-Hans" w:bidi="ar-SA"/>
        </w:rPr>
        <w:t>2021年运营话剧、音乐剧、舞剧排名前列的机构</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0"/>
        <w:gridCol w:w="4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四川省演出展览公司</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成都大喜时代文化传播有限公司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CN" w:bidi="ar-SA"/>
              </w:rPr>
              <w:t>成都开心麻花</w:t>
            </w:r>
            <w:r>
              <w:rPr>
                <w:rFonts w:hint="default" w:ascii="宋体" w:hAnsi="宋体" w:cs="宋体"/>
                <w:b w:val="0"/>
                <w:bCs w:val="0"/>
                <w:color w:val="auto"/>
                <w:kern w:val="0"/>
                <w:sz w:val="20"/>
                <w:szCs w:val="20"/>
                <w:shd w:val="clear" w:color="auto" w:fill="FFFFFF"/>
                <w:lang w:val="en-US" w:eastAsia="zh-CN" w:bidi="ar-SA"/>
              </w:rPr>
              <w:t>文化传媒有限公司</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四川壹现场文化传播有限公司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vAlign w:val="top"/>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成都星演文化传播有限公司</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成都东方文商企业运营管理有限公司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vAlign w:val="top"/>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成都宇修合力演艺管理有限公司</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凉山文化广播影视传媒集团有限公司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vAlign w:val="top"/>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四川亿合文化传播有限公司</w:t>
            </w:r>
            <w:r>
              <w:rPr>
                <w:rFonts w:hint="default" w:ascii="宋体" w:hAnsi="宋体" w:cs="宋体"/>
                <w:b w:val="0"/>
                <w:bCs w:val="0"/>
                <w:color w:val="auto"/>
                <w:kern w:val="0"/>
                <w:sz w:val="20"/>
                <w:szCs w:val="20"/>
                <w:shd w:val="clear" w:color="auto" w:fill="FFFFFF"/>
                <w:lang w:val="en-US" w:eastAsia="zh-Hans" w:bidi="ar-SA"/>
              </w:rPr>
              <w:t xml:space="preserve"> </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西昌观海听涛文化旅游有限公司</w:t>
            </w:r>
          </w:p>
        </w:tc>
      </w:tr>
    </w:tbl>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bCs/>
          <w:color w:val="auto"/>
          <w:kern w:val="0"/>
          <w:sz w:val="20"/>
          <w:szCs w:val="20"/>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bCs/>
          <w:color w:val="auto"/>
          <w:kern w:val="0"/>
          <w:sz w:val="20"/>
          <w:szCs w:val="20"/>
          <w:shd w:val="clear" w:color="auto" w:fill="FFFFFF"/>
          <w:lang w:val="en-US" w:eastAsia="zh-Hans" w:bidi="ar-SA"/>
        </w:rPr>
      </w:pPr>
      <w:r>
        <w:rPr>
          <w:rFonts w:hint="eastAsia" w:ascii="宋体" w:hAnsi="宋体" w:cs="宋体"/>
          <w:b/>
          <w:bCs/>
          <w:color w:val="auto"/>
          <w:kern w:val="0"/>
          <w:sz w:val="20"/>
          <w:szCs w:val="20"/>
          <w:shd w:val="clear" w:color="auto" w:fill="FFFFFF"/>
          <w:lang w:val="en-US" w:eastAsia="zh-CN" w:bidi="ar-SA"/>
        </w:rPr>
        <w:t xml:space="preserve">图表3-7  </w:t>
      </w:r>
      <w:r>
        <w:rPr>
          <w:rFonts w:hint="eastAsia" w:ascii="宋体" w:hAnsi="宋体" w:cs="宋体"/>
          <w:b/>
          <w:bCs/>
          <w:color w:val="auto"/>
          <w:kern w:val="0"/>
          <w:sz w:val="20"/>
          <w:szCs w:val="20"/>
          <w:shd w:val="clear" w:color="auto" w:fill="FFFFFF"/>
          <w:lang w:val="en-US" w:eastAsia="zh-Hans" w:bidi="ar-SA"/>
        </w:rPr>
        <w:t>2021年运营音乐会排名前列的机构</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2"/>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default" w:ascii="宋体" w:hAnsi="宋体" w:cs="宋体"/>
                <w:b w:val="0"/>
                <w:bCs w:val="0"/>
                <w:color w:val="auto"/>
                <w:kern w:val="0"/>
                <w:sz w:val="20"/>
                <w:szCs w:val="20"/>
                <w:shd w:val="clear" w:color="auto" w:fill="FFFFFF"/>
                <w:lang w:val="en-US" w:eastAsia="zh-CN" w:bidi="ar-SA"/>
              </w:rPr>
              <w:t xml:space="preserve">成都城市音乐厅运营管理有限责任公司 </w:t>
            </w:r>
          </w:p>
        </w:tc>
        <w:tc>
          <w:tcPr>
            <w:tcW w:w="4170"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成都演艺集团有限公司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四川登满演艺经纪有限公司</w:t>
            </w:r>
            <w:r>
              <w:rPr>
                <w:rFonts w:hint="default" w:ascii="宋体" w:hAnsi="宋体" w:cs="宋体"/>
                <w:b w:val="0"/>
                <w:bCs w:val="0"/>
                <w:color w:val="auto"/>
                <w:kern w:val="0"/>
                <w:sz w:val="20"/>
                <w:szCs w:val="20"/>
                <w:shd w:val="clear" w:color="auto" w:fill="FFFFFF"/>
                <w:lang w:val="en-US" w:eastAsia="zh-Hans" w:bidi="ar-SA"/>
              </w:rPr>
              <w:t xml:space="preserve"> </w:t>
            </w:r>
          </w:p>
        </w:tc>
        <w:tc>
          <w:tcPr>
            <w:tcW w:w="4170"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default" w:ascii="宋体" w:hAnsi="宋体" w:cs="宋体"/>
                <w:b w:val="0"/>
                <w:bCs w:val="0"/>
                <w:color w:val="auto"/>
                <w:kern w:val="0"/>
                <w:sz w:val="20"/>
                <w:szCs w:val="20"/>
                <w:shd w:val="clear" w:color="auto" w:fill="FFFFFF"/>
                <w:lang w:val="en-US" w:eastAsia="zh-CN" w:bidi="ar-SA"/>
              </w:rPr>
              <w:t>成都五彩云霞文化演艺有限公司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2" w:type="dxa"/>
            <w:vAlign w:val="top"/>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四川省演出展览公司</w:t>
            </w:r>
          </w:p>
        </w:tc>
        <w:tc>
          <w:tcPr>
            <w:tcW w:w="4170" w:type="dxa"/>
            <w:vAlign w:val="top"/>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default" w:ascii="宋体" w:hAnsi="宋体" w:cs="宋体"/>
                <w:b w:val="0"/>
                <w:bCs w:val="0"/>
                <w:color w:val="auto"/>
                <w:kern w:val="0"/>
                <w:sz w:val="20"/>
                <w:szCs w:val="20"/>
                <w:shd w:val="clear" w:color="auto" w:fill="FFFFFF"/>
                <w:lang w:val="en-US" w:eastAsia="zh-CN" w:bidi="ar-SA"/>
              </w:rPr>
            </w:pPr>
            <w:r>
              <w:rPr>
                <w:rFonts w:hint="eastAsia" w:ascii="宋体" w:hAnsi="宋体" w:cs="宋体"/>
                <w:b w:val="0"/>
                <w:bCs w:val="0"/>
                <w:color w:val="auto"/>
                <w:kern w:val="0"/>
                <w:sz w:val="20"/>
                <w:szCs w:val="20"/>
                <w:shd w:val="clear" w:color="auto" w:fill="FFFFFF"/>
                <w:lang w:val="en-US" w:eastAsia="zh-Hans" w:bidi="ar-SA"/>
              </w:rPr>
              <w:t>四川壹现场文化传播有限公司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成都大喜时代文化传播有限公司</w:t>
            </w:r>
          </w:p>
        </w:tc>
        <w:tc>
          <w:tcPr>
            <w:tcW w:w="4170"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default" w:ascii="宋体" w:hAnsi="宋体" w:cs="宋体"/>
                <w:b w:val="0"/>
                <w:bCs w:val="0"/>
                <w:color w:val="auto"/>
                <w:kern w:val="0"/>
                <w:sz w:val="20"/>
                <w:szCs w:val="20"/>
                <w:shd w:val="clear" w:color="auto" w:fill="FFFFFF"/>
                <w:lang w:val="en-US" w:eastAsia="zh-CN" w:bidi="ar-SA"/>
              </w:rPr>
            </w:pPr>
            <w:r>
              <w:rPr>
                <w:rFonts w:hint="default" w:ascii="宋体" w:hAnsi="宋体" w:cs="宋体"/>
                <w:b w:val="0"/>
                <w:bCs w:val="0"/>
                <w:color w:val="auto"/>
                <w:kern w:val="0"/>
                <w:sz w:val="20"/>
                <w:szCs w:val="20"/>
                <w:shd w:val="clear" w:color="auto" w:fill="FFFFFF"/>
                <w:lang w:val="en-US" w:eastAsia="zh-CN" w:bidi="ar-SA"/>
              </w:rPr>
              <w:t>成都欧凯文化传播有限公司</w:t>
            </w:r>
          </w:p>
        </w:tc>
      </w:tr>
    </w:tbl>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bCs/>
          <w:color w:val="auto"/>
          <w:kern w:val="0"/>
          <w:sz w:val="20"/>
          <w:szCs w:val="20"/>
          <w:shd w:val="clear" w:color="auto" w:fill="FFFFFF"/>
          <w:lang w:val="en-US" w:eastAsia="zh-Hans" w:bidi="ar-SA"/>
        </w:rPr>
      </w:pPr>
      <w:r>
        <w:rPr>
          <w:rFonts w:hint="eastAsia" w:ascii="宋体" w:hAnsi="宋体" w:cs="宋体"/>
          <w:b/>
          <w:bCs/>
          <w:color w:val="auto"/>
          <w:kern w:val="0"/>
          <w:sz w:val="20"/>
          <w:szCs w:val="20"/>
          <w:shd w:val="clear" w:color="auto" w:fill="FFFFFF"/>
          <w:lang w:val="en-US" w:eastAsia="zh-CN" w:bidi="ar-SA"/>
        </w:rPr>
        <w:t xml:space="preserve">图表3-8  </w:t>
      </w:r>
      <w:r>
        <w:rPr>
          <w:rFonts w:hint="eastAsia" w:ascii="宋体" w:hAnsi="宋体" w:cs="宋体"/>
          <w:b/>
          <w:bCs/>
          <w:color w:val="auto"/>
          <w:kern w:val="0"/>
          <w:sz w:val="20"/>
          <w:szCs w:val="20"/>
          <w:shd w:val="clear" w:color="auto" w:fill="FFFFFF"/>
          <w:lang w:val="en-US" w:eastAsia="zh-Hans" w:bidi="ar-SA"/>
        </w:rPr>
        <w:t>2021年运营儿童剧排名前列的机构</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0"/>
        <w:gridCol w:w="4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成都欢乐屋文化传播有限公司</w:t>
            </w:r>
            <w:r>
              <w:rPr>
                <w:rFonts w:hint="default" w:ascii="宋体" w:hAnsi="宋体" w:cs="宋体"/>
                <w:b w:val="0"/>
                <w:bCs w:val="0"/>
                <w:color w:val="auto"/>
                <w:kern w:val="0"/>
                <w:sz w:val="20"/>
                <w:szCs w:val="20"/>
                <w:shd w:val="clear" w:color="auto" w:fill="FFFFFF"/>
                <w:lang w:val="en-US" w:eastAsia="zh-Hans" w:bidi="ar-SA"/>
              </w:rPr>
              <w:t xml:space="preserve"> </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成都大喜时代文化传播有限公司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四川孩儿迷文化传播有限公司</w:t>
            </w:r>
            <w:r>
              <w:rPr>
                <w:rFonts w:hint="default" w:ascii="宋体" w:hAnsi="宋体" w:cs="宋体"/>
                <w:b w:val="0"/>
                <w:bCs w:val="0"/>
                <w:color w:val="auto"/>
                <w:kern w:val="0"/>
                <w:sz w:val="20"/>
                <w:szCs w:val="20"/>
                <w:shd w:val="clear" w:color="auto" w:fill="FFFFFF"/>
                <w:lang w:val="en-US" w:eastAsia="zh-Hans" w:bidi="ar-SA"/>
              </w:rPr>
              <w:t xml:space="preserve"> </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绵阳橙众文化传播有限公司</w:t>
            </w:r>
            <w:r>
              <w:rPr>
                <w:rFonts w:hint="default" w:ascii="宋体" w:hAnsi="宋体" w:cs="宋体"/>
                <w:b w:val="0"/>
                <w:bCs w:val="0"/>
                <w:color w:val="auto"/>
                <w:kern w:val="0"/>
                <w:sz w:val="20"/>
                <w:szCs w:val="20"/>
                <w:shd w:val="clear" w:color="auto" w:fill="FFFFFF"/>
                <w:lang w:val="en-US" w:eastAsia="zh-Hans"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vAlign w:val="top"/>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default" w:ascii="宋体" w:hAnsi="宋体" w:cs="宋体"/>
                <w:b w:val="0"/>
                <w:bCs w:val="0"/>
                <w:color w:val="auto"/>
                <w:kern w:val="0"/>
                <w:sz w:val="20"/>
                <w:szCs w:val="20"/>
                <w:shd w:val="clear" w:color="auto" w:fill="FFFFFF"/>
                <w:lang w:val="en-US" w:eastAsia="zh-Hans" w:bidi="ar-SA"/>
              </w:rPr>
              <w:t>成都大娱文化传媒有限公司</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成都允染文化传播有限公司</w:t>
            </w:r>
          </w:p>
        </w:tc>
      </w:tr>
    </w:tbl>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bCs/>
          <w:color w:val="auto"/>
          <w:kern w:val="0"/>
          <w:sz w:val="20"/>
          <w:szCs w:val="20"/>
          <w:shd w:val="clear" w:color="auto" w:fill="FFFFFF"/>
          <w:lang w:val="en-US" w:eastAsia="zh-Hans" w:bidi="ar-SA"/>
        </w:rPr>
      </w:pPr>
      <w:r>
        <w:rPr>
          <w:rFonts w:hint="eastAsia" w:ascii="宋体" w:hAnsi="宋体" w:cs="宋体"/>
          <w:b/>
          <w:bCs/>
          <w:color w:val="auto"/>
          <w:kern w:val="0"/>
          <w:sz w:val="20"/>
          <w:szCs w:val="20"/>
          <w:shd w:val="clear" w:color="auto" w:fill="FFFFFF"/>
          <w:lang w:val="en-US" w:eastAsia="zh-CN" w:bidi="ar-SA"/>
        </w:rPr>
        <w:t xml:space="preserve">图表3-9  </w:t>
      </w:r>
      <w:r>
        <w:rPr>
          <w:rFonts w:hint="eastAsia" w:ascii="宋体" w:hAnsi="宋体" w:cs="宋体"/>
          <w:b/>
          <w:bCs/>
          <w:color w:val="auto"/>
          <w:kern w:val="0"/>
          <w:sz w:val="20"/>
          <w:szCs w:val="20"/>
          <w:shd w:val="clear" w:color="auto" w:fill="FFFFFF"/>
          <w:lang w:val="en-US" w:eastAsia="zh-Hans" w:bidi="ar-SA"/>
        </w:rPr>
        <w:t>2021年运营戏曲、曲艺排名前列的机构</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0"/>
        <w:gridCol w:w="4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default" w:ascii="宋体" w:hAnsi="宋体" w:cs="宋体"/>
                <w:b w:val="0"/>
                <w:bCs w:val="0"/>
                <w:color w:val="auto"/>
                <w:kern w:val="0"/>
                <w:sz w:val="20"/>
                <w:szCs w:val="20"/>
                <w:shd w:val="clear" w:color="auto" w:fill="FFFFFF"/>
                <w:lang w:val="en-US" w:eastAsia="zh-Hans" w:bidi="ar-SA"/>
              </w:rPr>
              <w:t>四川世纪星辰文化传媒有限公司</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default" w:ascii="宋体" w:hAnsi="宋体" w:cs="宋体"/>
                <w:b w:val="0"/>
                <w:bCs w:val="0"/>
                <w:color w:val="auto"/>
                <w:kern w:val="0"/>
                <w:sz w:val="20"/>
                <w:szCs w:val="20"/>
                <w:shd w:val="clear" w:color="auto" w:fill="FFFFFF"/>
                <w:lang w:val="en-US" w:eastAsia="zh-Hans" w:bidi="ar-SA"/>
              </w:rPr>
              <w:t>四川川秀文化传播有限公司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default" w:ascii="宋体" w:hAnsi="宋体" w:cs="宋体"/>
                <w:b w:val="0"/>
                <w:bCs w:val="0"/>
                <w:color w:val="auto"/>
                <w:kern w:val="0"/>
                <w:sz w:val="20"/>
                <w:szCs w:val="20"/>
                <w:shd w:val="clear" w:color="auto" w:fill="FFFFFF"/>
                <w:lang w:val="en-US" w:eastAsia="zh-Hans" w:bidi="ar-SA"/>
              </w:rPr>
            </w:pPr>
            <w:r>
              <w:rPr>
                <w:rFonts w:hint="default" w:ascii="宋体" w:hAnsi="宋体" w:cs="宋体"/>
                <w:b w:val="0"/>
                <w:bCs w:val="0"/>
                <w:color w:val="auto"/>
                <w:kern w:val="0"/>
                <w:sz w:val="20"/>
                <w:szCs w:val="20"/>
                <w:shd w:val="clear" w:color="auto" w:fill="FFFFFF"/>
                <w:lang w:val="en-US" w:eastAsia="zh-Hans" w:bidi="ar-SA"/>
              </w:rPr>
              <w:t>成都丁老头文化传播有限公司</w:t>
            </w:r>
          </w:p>
        </w:tc>
        <w:tc>
          <w:tcPr>
            <w:tcW w:w="4562"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default" w:ascii="宋体" w:hAnsi="宋体" w:cs="宋体"/>
                <w:b w:val="0"/>
                <w:bCs w:val="0"/>
                <w:color w:val="auto"/>
                <w:kern w:val="0"/>
                <w:sz w:val="20"/>
                <w:szCs w:val="20"/>
                <w:shd w:val="clear" w:color="auto" w:fill="FFFFFF"/>
                <w:lang w:val="en-US" w:eastAsia="zh-Hans" w:bidi="ar-SA"/>
              </w:rPr>
            </w:pPr>
            <w:r>
              <w:rPr>
                <w:rFonts w:hint="default" w:ascii="宋体" w:hAnsi="宋体" w:cs="宋体"/>
                <w:b w:val="0"/>
                <w:bCs w:val="0"/>
                <w:color w:val="auto"/>
                <w:kern w:val="0"/>
                <w:sz w:val="20"/>
                <w:szCs w:val="20"/>
                <w:shd w:val="clear" w:color="auto" w:fill="FFFFFF"/>
                <w:lang w:val="en-US" w:eastAsia="zh-Hans" w:bidi="ar-SA"/>
              </w:rPr>
              <w:t>四川战旗文化传播有限责任公司</w:t>
            </w:r>
          </w:p>
        </w:tc>
      </w:tr>
    </w:tbl>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bCs/>
          <w:color w:val="auto"/>
          <w:kern w:val="0"/>
          <w:sz w:val="20"/>
          <w:szCs w:val="20"/>
          <w:shd w:val="clear" w:color="auto" w:fill="FFFFFF"/>
          <w:lang w:val="en-US" w:eastAsia="zh-Hans" w:bidi="ar-SA"/>
        </w:rPr>
      </w:pPr>
      <w:r>
        <w:rPr>
          <w:rFonts w:hint="default" w:ascii="宋体" w:hAnsi="宋体" w:cs="宋体"/>
          <w:b/>
          <w:bCs/>
          <w:color w:val="auto"/>
          <w:kern w:val="0"/>
          <w:sz w:val="20"/>
          <w:szCs w:val="20"/>
          <w:shd w:val="clear" w:color="auto" w:fill="FFFFFF"/>
          <w:lang w:val="en-US" w:eastAsia="zh-Hans" w:bidi="ar-SA"/>
        </w:rPr>
        <w:t xml:space="preserve">   </w:t>
      </w:r>
      <w:r>
        <w:rPr>
          <w:rFonts w:hint="eastAsia" w:ascii="宋体" w:hAnsi="宋体" w:cs="宋体"/>
          <w:b/>
          <w:bCs/>
          <w:color w:val="auto"/>
          <w:kern w:val="0"/>
          <w:sz w:val="20"/>
          <w:szCs w:val="20"/>
          <w:shd w:val="clear" w:color="auto" w:fill="FFFFFF"/>
          <w:lang w:val="en-US" w:eastAsia="zh-CN" w:bidi="ar-SA"/>
        </w:rPr>
        <w:t xml:space="preserve">图表3-10  </w:t>
      </w:r>
      <w:r>
        <w:rPr>
          <w:rFonts w:hint="default" w:ascii="宋体" w:hAnsi="宋体" w:cs="宋体"/>
          <w:b/>
          <w:bCs/>
          <w:color w:val="auto"/>
          <w:kern w:val="0"/>
          <w:sz w:val="20"/>
          <w:szCs w:val="20"/>
          <w:shd w:val="clear" w:color="auto" w:fill="FFFFFF"/>
          <w:lang w:val="en-US" w:eastAsia="zh-Hans" w:bidi="ar-SA"/>
        </w:rPr>
        <w:t>2021</w:t>
      </w:r>
      <w:r>
        <w:rPr>
          <w:rFonts w:hint="eastAsia" w:ascii="宋体" w:hAnsi="宋体" w:cs="宋体"/>
          <w:b/>
          <w:bCs/>
          <w:color w:val="auto"/>
          <w:kern w:val="0"/>
          <w:sz w:val="20"/>
          <w:szCs w:val="20"/>
          <w:shd w:val="clear" w:color="auto" w:fill="FFFFFF"/>
          <w:lang w:val="en-US" w:eastAsia="zh-Hans" w:bidi="ar-SA"/>
        </w:rPr>
        <w:t>年运营演唱会、音乐节、livehouse排名前列的公司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四川乐网文化传播有限公司</w:t>
            </w:r>
            <w:r>
              <w:rPr>
                <w:rFonts w:hint="default" w:ascii="宋体" w:hAnsi="宋体" w:cs="宋体"/>
                <w:b w:val="0"/>
                <w:bCs w:val="0"/>
                <w:color w:val="auto"/>
                <w:kern w:val="0"/>
                <w:sz w:val="20"/>
                <w:szCs w:val="20"/>
                <w:shd w:val="clear" w:color="auto" w:fill="FFFFFF"/>
                <w:lang w:val="en-US" w:eastAsia="zh-Hans" w:bidi="ar-SA"/>
              </w:rPr>
              <w:t xml:space="preserve"> </w:t>
            </w:r>
          </w:p>
        </w:tc>
        <w:tc>
          <w:tcPr>
            <w:tcW w:w="4261"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四川聚正能量文化传播有限公司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成都星扬文化传媒有限公司</w:t>
            </w:r>
            <w:r>
              <w:rPr>
                <w:rFonts w:hint="default" w:ascii="宋体" w:hAnsi="宋体" w:cs="宋体"/>
                <w:b w:val="0"/>
                <w:bCs w:val="0"/>
                <w:color w:val="auto"/>
                <w:kern w:val="0"/>
                <w:sz w:val="20"/>
                <w:szCs w:val="20"/>
                <w:shd w:val="clear" w:color="auto" w:fill="FFFFFF"/>
                <w:lang w:val="en-US" w:eastAsia="zh-Hans" w:bidi="ar-SA"/>
              </w:rPr>
              <w:t xml:space="preserve"> </w:t>
            </w:r>
          </w:p>
        </w:tc>
        <w:tc>
          <w:tcPr>
            <w:tcW w:w="4261"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成都晓峰演音文化产业发展有限公司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成都三生有戏文化传播有限公司</w:t>
            </w:r>
          </w:p>
        </w:tc>
        <w:tc>
          <w:tcPr>
            <w:tcW w:w="4261"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成都魅蓝文化传媒有限公司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成都天纵娱乐有限公司</w:t>
            </w:r>
            <w:r>
              <w:rPr>
                <w:rFonts w:hint="default" w:ascii="宋体" w:hAnsi="宋体" w:cs="宋体"/>
                <w:b w:val="0"/>
                <w:bCs w:val="0"/>
                <w:color w:val="auto"/>
                <w:kern w:val="0"/>
                <w:sz w:val="20"/>
                <w:szCs w:val="20"/>
                <w:shd w:val="clear" w:color="auto" w:fill="FFFFFF"/>
                <w:lang w:val="en-US" w:eastAsia="zh-Hans" w:bidi="ar-SA"/>
              </w:rPr>
              <w:t xml:space="preserve"> </w:t>
            </w:r>
          </w:p>
        </w:tc>
        <w:tc>
          <w:tcPr>
            <w:tcW w:w="4261" w:type="dxa"/>
          </w:tcPr>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rPr>
                <w:rFonts w:hint="eastAsia" w:ascii="宋体" w:hAnsi="宋体" w:cs="宋体"/>
                <w:b w:val="0"/>
                <w:bCs w:val="0"/>
                <w:color w:val="auto"/>
                <w:kern w:val="0"/>
                <w:sz w:val="20"/>
                <w:szCs w:val="20"/>
                <w:shd w:val="clear" w:color="auto" w:fill="FFFFFF"/>
                <w:lang w:val="en-US" w:eastAsia="zh-Hans" w:bidi="ar-SA"/>
              </w:rPr>
            </w:pPr>
            <w:r>
              <w:rPr>
                <w:rFonts w:hint="eastAsia" w:ascii="宋体" w:hAnsi="宋体" w:cs="宋体"/>
                <w:b w:val="0"/>
                <w:bCs w:val="0"/>
                <w:color w:val="auto"/>
                <w:kern w:val="0"/>
                <w:sz w:val="20"/>
                <w:szCs w:val="20"/>
                <w:shd w:val="clear" w:color="auto" w:fill="FFFFFF"/>
                <w:lang w:val="en-US" w:eastAsia="zh-Hans" w:bidi="ar-SA"/>
              </w:rPr>
              <w:t>四川风吹麦浪文化传播有限公司</w:t>
            </w:r>
            <w:r>
              <w:rPr>
                <w:rFonts w:hint="default" w:ascii="宋体" w:hAnsi="宋体" w:cs="宋体"/>
                <w:b w:val="0"/>
                <w:bCs w:val="0"/>
                <w:color w:val="auto"/>
                <w:kern w:val="0"/>
                <w:sz w:val="20"/>
                <w:szCs w:val="20"/>
                <w:shd w:val="clear" w:color="auto" w:fill="FFFFFF"/>
                <w:lang w:val="en-US" w:eastAsia="zh-Hans" w:bidi="ar-SA"/>
              </w:rPr>
              <w:t xml:space="preserve"> </w:t>
            </w:r>
          </w:p>
        </w:tc>
      </w:tr>
    </w:tbl>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default"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2</w:t>
      </w:r>
      <w:r>
        <w:rPr>
          <w:rFonts w:hint="eastAsia" w:ascii="方正仿宋_GB2312" w:hAnsi="方正仿宋_GB2312" w:eastAsia="方正仿宋_GB2312" w:cs="方正仿宋_GB2312"/>
          <w:b/>
          <w:bCs/>
          <w:color w:val="auto"/>
          <w:sz w:val="32"/>
          <w:szCs w:val="32"/>
          <w:lang w:val="en-US" w:eastAsia="zh-Hans"/>
        </w:rPr>
        <w:t>、运营项目分布</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Hans" w:bidi="ar-SA"/>
        </w:rPr>
        <w:t>202</w:t>
      </w:r>
      <w:r>
        <w:rPr>
          <w:rFonts w:hint="eastAsia" w:ascii="仿宋_GB2312" w:hAnsi="仿宋_GB2312" w:eastAsia="仿宋_GB2312" w:cs="仿宋_GB2312"/>
          <w:b w:val="0"/>
          <w:bCs w:val="0"/>
          <w:kern w:val="2"/>
          <w:sz w:val="32"/>
          <w:szCs w:val="32"/>
          <w:lang w:val="en-US" w:eastAsia="zh-CN" w:bidi="ar-SA"/>
        </w:rPr>
        <w:t>3</w:t>
      </w:r>
      <w:r>
        <w:rPr>
          <w:rFonts w:hint="eastAsia" w:ascii="仿宋_GB2312" w:hAnsi="仿宋_GB2312" w:eastAsia="仿宋_GB2312" w:cs="仿宋_GB2312"/>
          <w:b w:val="0"/>
          <w:bCs w:val="0"/>
          <w:kern w:val="2"/>
          <w:sz w:val="32"/>
          <w:szCs w:val="32"/>
          <w:lang w:val="en-US" w:eastAsia="zh-Hans" w:bidi="ar-SA"/>
        </w:rPr>
        <w:t>年全省</w:t>
      </w:r>
      <w:r>
        <w:rPr>
          <w:rFonts w:hint="default" w:ascii="仿宋_GB2312" w:hAnsi="仿宋_GB2312" w:eastAsia="仿宋_GB2312" w:cs="仿宋_GB2312"/>
          <w:b w:val="0"/>
          <w:bCs w:val="0"/>
          <w:kern w:val="2"/>
          <w:sz w:val="32"/>
          <w:szCs w:val="32"/>
          <w:lang w:val="en-US" w:eastAsia="zh-Hans" w:bidi="ar-SA"/>
        </w:rPr>
        <w:t>85.5</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的营业性演出项目集中在成都，省内其余市州共计仅占</w:t>
      </w:r>
      <w:r>
        <w:rPr>
          <w:rFonts w:hint="default" w:ascii="仿宋_GB2312" w:hAnsi="仿宋_GB2312" w:eastAsia="仿宋_GB2312" w:cs="仿宋_GB2312"/>
          <w:b w:val="0"/>
          <w:bCs w:val="0"/>
          <w:kern w:val="2"/>
          <w:sz w:val="32"/>
          <w:szCs w:val="32"/>
          <w:lang w:val="en-US" w:eastAsia="zh-Hans" w:bidi="ar-SA"/>
        </w:rPr>
        <w:t>14.5</w:t>
      </w:r>
      <w:r>
        <w:rPr>
          <w:rFonts w:hint="eastAsia" w:ascii="仿宋_GB2312" w:hAnsi="仿宋_GB2312" w:eastAsia="仿宋_GB2312" w:cs="仿宋_GB2312"/>
          <w:b w:val="0"/>
          <w:bCs w:val="0"/>
          <w:kern w:val="2"/>
          <w:sz w:val="32"/>
          <w:szCs w:val="32"/>
          <w:lang w:val="en-US" w:eastAsia="zh-CN" w:bidi="ar-SA"/>
        </w:rPr>
        <w:t>0</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的份额，且</w:t>
      </w:r>
      <w:r>
        <w:rPr>
          <w:rFonts w:hint="default" w:ascii="仿宋_GB2312" w:hAnsi="仿宋_GB2312" w:eastAsia="仿宋_GB2312" w:cs="仿宋_GB2312"/>
          <w:b w:val="0"/>
          <w:bCs w:val="0"/>
          <w:kern w:val="2"/>
          <w:sz w:val="32"/>
          <w:szCs w:val="32"/>
          <w:lang w:val="en-US" w:eastAsia="zh-Hans" w:bidi="ar-SA"/>
        </w:rPr>
        <w:t>95%</w:t>
      </w:r>
      <w:r>
        <w:rPr>
          <w:rFonts w:hint="eastAsia" w:ascii="仿宋_GB2312" w:hAnsi="仿宋_GB2312" w:eastAsia="仿宋_GB2312" w:cs="仿宋_GB2312"/>
          <w:b w:val="0"/>
          <w:bCs w:val="0"/>
          <w:kern w:val="2"/>
          <w:sz w:val="32"/>
          <w:szCs w:val="32"/>
          <w:lang w:val="en-US" w:eastAsia="zh-Hans" w:bidi="ar-SA"/>
        </w:rPr>
        <w:t>以上的营业性演出项目均由成都地区的演出经纪公司引入与运营。包括德阳、广元、资中、隆昌、遂宁等多地上演的舞剧、音乐会、儿童剧等营业性演出项目都是成都地区演出经纪公司引进的。例如：</w:t>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w:t>
      </w:r>
      <w:r>
        <w:rPr>
          <w:rFonts w:hint="default" w:ascii="仿宋_GB2312" w:hAnsi="仿宋_GB2312" w:eastAsia="仿宋_GB2312" w:cs="仿宋_GB2312"/>
          <w:b w:val="0"/>
          <w:bCs w:val="0"/>
          <w:kern w:val="2"/>
          <w:sz w:val="32"/>
          <w:szCs w:val="32"/>
          <w:lang w:val="en-US" w:eastAsia="zh-CN" w:bidi="ar-SA"/>
        </w:rPr>
        <w:t>成都东方文商企业运营管理有限公司</w:t>
      </w:r>
      <w:r>
        <w:rPr>
          <w:rFonts w:hint="eastAsia" w:ascii="仿宋_GB2312" w:hAnsi="仿宋_GB2312" w:eastAsia="仿宋_GB2312" w:cs="仿宋_GB2312"/>
          <w:b w:val="0"/>
          <w:bCs w:val="0"/>
          <w:kern w:val="2"/>
          <w:sz w:val="32"/>
          <w:szCs w:val="32"/>
          <w:lang w:val="en-US" w:eastAsia="zh-Hans" w:bidi="ar-SA"/>
        </w:rPr>
        <w:t>就为资中县苌弘大剧院、隆昌莲峰大剧院等剧院引进了舞剧《沙湾往事》、杂技剧《金沙江畔》、儿童剧《小美人鱼》等</w:t>
      </w:r>
      <w:r>
        <w:rPr>
          <w:rFonts w:hint="default" w:ascii="仿宋_GB2312" w:hAnsi="仿宋_GB2312" w:eastAsia="仿宋_GB2312" w:cs="仿宋_GB2312"/>
          <w:b w:val="0"/>
          <w:bCs w:val="0"/>
          <w:kern w:val="2"/>
          <w:sz w:val="32"/>
          <w:szCs w:val="32"/>
          <w:lang w:val="en-US" w:eastAsia="zh-Hans" w:bidi="ar-SA"/>
        </w:rPr>
        <w:t>20</w:t>
      </w:r>
      <w:r>
        <w:rPr>
          <w:rFonts w:hint="eastAsia" w:ascii="仿宋_GB2312" w:hAnsi="仿宋_GB2312" w:eastAsia="仿宋_GB2312" w:cs="仿宋_GB2312"/>
          <w:b w:val="0"/>
          <w:bCs w:val="0"/>
          <w:kern w:val="2"/>
          <w:sz w:val="32"/>
          <w:szCs w:val="32"/>
          <w:lang w:val="en-US" w:eastAsia="zh-Hans" w:bidi="ar-SA"/>
        </w:rPr>
        <w:t>多项优秀剧目。广元、遂宁、德阳等地的儿童剧为大娱文化、允染文化等演出经纪机构运营的。绵阳橙众文化传播有限公司、</w:t>
      </w:r>
      <w:r>
        <w:rPr>
          <w:rFonts w:hint="default" w:ascii="仿宋_GB2312" w:hAnsi="仿宋_GB2312" w:eastAsia="仿宋_GB2312" w:cs="仿宋_GB2312"/>
          <w:b w:val="0"/>
          <w:bCs w:val="0"/>
          <w:kern w:val="2"/>
          <w:sz w:val="32"/>
          <w:szCs w:val="32"/>
          <w:lang w:val="en-US" w:eastAsia="zh-Hans" w:bidi="ar-SA"/>
        </w:rPr>
        <w:t>成都大娱文化传媒有限公司</w:t>
      </w:r>
      <w:r>
        <w:rPr>
          <w:rFonts w:hint="eastAsia" w:ascii="仿宋_GB2312" w:hAnsi="仿宋_GB2312" w:eastAsia="仿宋_GB2312" w:cs="仿宋_GB2312"/>
          <w:b w:val="0"/>
          <w:bCs w:val="0"/>
          <w:kern w:val="2"/>
          <w:sz w:val="32"/>
          <w:szCs w:val="32"/>
          <w:lang w:val="en-US" w:eastAsia="zh-Hans" w:bidi="ar-SA"/>
        </w:rPr>
        <w:t>等演出经纪公司运营推出的。</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3</w:t>
      </w:r>
      <w:r>
        <w:rPr>
          <w:rFonts w:hint="eastAsia" w:ascii="方正仿宋_GB2312" w:hAnsi="方正仿宋_GB2312" w:eastAsia="方正仿宋_GB2312" w:cs="方正仿宋_GB2312"/>
          <w:b/>
          <w:bCs/>
          <w:color w:val="auto"/>
          <w:sz w:val="32"/>
          <w:szCs w:val="32"/>
          <w:lang w:val="en-US" w:eastAsia="zh-Hans"/>
        </w:rPr>
        <w:t>、品牌演出活动</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年，我省举办了建党</w:t>
      </w:r>
      <w:r>
        <w:rPr>
          <w:rFonts w:hint="default" w:ascii="仿宋_GB2312" w:hAnsi="仿宋_GB2312" w:eastAsia="仿宋_GB2312" w:cs="仿宋_GB2312"/>
          <w:b w:val="0"/>
          <w:bCs w:val="0"/>
          <w:kern w:val="2"/>
          <w:sz w:val="32"/>
          <w:szCs w:val="32"/>
          <w:lang w:val="en-US" w:eastAsia="zh-Hans" w:bidi="ar-SA"/>
        </w:rPr>
        <w:t>100</w:t>
      </w:r>
      <w:r>
        <w:rPr>
          <w:rFonts w:hint="eastAsia" w:ascii="仿宋_GB2312" w:hAnsi="仿宋_GB2312" w:eastAsia="仿宋_GB2312" w:cs="仿宋_GB2312"/>
          <w:b w:val="0"/>
          <w:bCs w:val="0"/>
          <w:kern w:val="2"/>
          <w:sz w:val="32"/>
          <w:szCs w:val="32"/>
          <w:lang w:val="en-US" w:eastAsia="zh-Hans" w:bidi="ar-SA"/>
        </w:rPr>
        <w:t>周年与首届“剧美天府”优秀剧目展演季、</w:t>
      </w:r>
      <w:r>
        <w:rPr>
          <w:rFonts w:hint="default" w:ascii="仿宋_GB2312" w:hAnsi="仿宋_GB2312" w:eastAsia="仿宋_GB2312" w:cs="仿宋_GB2312"/>
          <w:b w:val="0"/>
          <w:bCs w:val="0"/>
          <w:kern w:val="2"/>
          <w:sz w:val="32"/>
          <w:szCs w:val="32"/>
          <w:lang w:val="en-US" w:eastAsia="zh-Hans" w:bidi="ar-SA"/>
        </w:rPr>
        <w:t>第十三届中国音乐金钟奖</w:t>
      </w:r>
      <w:r>
        <w:rPr>
          <w:rFonts w:hint="eastAsia" w:ascii="仿宋_GB2312" w:hAnsi="仿宋_GB2312" w:eastAsia="仿宋_GB2312" w:cs="仿宋_GB2312"/>
          <w:b w:val="0"/>
          <w:bCs w:val="0"/>
          <w:kern w:val="2"/>
          <w:sz w:val="32"/>
          <w:szCs w:val="32"/>
          <w:lang w:val="en-US" w:eastAsia="zh-Hans" w:bidi="ar-SA"/>
        </w:rPr>
        <w:t>与</w:t>
      </w:r>
      <w:r>
        <w:rPr>
          <w:rFonts w:hint="default" w:ascii="仿宋_GB2312" w:hAnsi="仿宋_GB2312" w:eastAsia="仿宋_GB2312" w:cs="仿宋_GB2312"/>
          <w:b w:val="0"/>
          <w:bCs w:val="0"/>
          <w:kern w:val="2"/>
          <w:sz w:val="32"/>
          <w:szCs w:val="32"/>
          <w:lang w:val="en-US" w:eastAsia="zh-CN" w:bidi="ar-SA"/>
        </w:rPr>
        <w:t>第27届“蓉城之秋”成都国际音乐季</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2021年</w:t>
      </w:r>
      <w:r>
        <w:rPr>
          <w:rFonts w:hint="default" w:ascii="仿宋_GB2312" w:hAnsi="仿宋_GB2312" w:eastAsia="仿宋_GB2312" w:cs="仿宋_GB2312"/>
          <w:b w:val="0"/>
          <w:bCs w:val="0"/>
          <w:kern w:val="2"/>
          <w:sz w:val="32"/>
          <w:szCs w:val="32"/>
          <w:lang w:val="en-US" w:eastAsia="zh-CN" w:bidi="ar-SA"/>
        </w:rPr>
        <w:t>“荟萃蓉城”精品剧目惠民展演暨第四届天府戏剧季</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Hans" w:bidi="ar-SA"/>
        </w:rPr>
        <w:t>第十三届中国音乐金钟奖</w:t>
      </w:r>
      <w:r>
        <w:rPr>
          <w:rFonts w:hint="eastAsia" w:ascii="仿宋_GB2312" w:hAnsi="仿宋_GB2312" w:eastAsia="仿宋_GB2312" w:cs="仿宋_GB2312"/>
          <w:b w:val="0"/>
          <w:bCs w:val="0"/>
          <w:kern w:val="2"/>
          <w:sz w:val="32"/>
          <w:szCs w:val="32"/>
          <w:lang w:val="en-US" w:eastAsia="zh-Hans" w:bidi="ar-SA"/>
        </w:rPr>
        <w:t>与</w:t>
      </w:r>
      <w:r>
        <w:rPr>
          <w:rFonts w:hint="default" w:ascii="仿宋_GB2312" w:hAnsi="仿宋_GB2312" w:eastAsia="仿宋_GB2312" w:cs="仿宋_GB2312"/>
          <w:b w:val="0"/>
          <w:bCs w:val="0"/>
          <w:kern w:val="2"/>
          <w:sz w:val="32"/>
          <w:szCs w:val="32"/>
          <w:lang w:val="en-US" w:eastAsia="zh-CN" w:bidi="ar-SA"/>
        </w:rPr>
        <w:t>第27届“蓉城之秋”成都国际音乐季</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w:t>
      </w:r>
      <w:r>
        <w:rPr>
          <w:rFonts w:hint="default" w:ascii="仿宋_GB2312" w:hAnsi="仿宋_GB2312" w:eastAsia="仿宋_GB2312" w:cs="仿宋_GB2312"/>
          <w:b w:val="0"/>
          <w:bCs w:val="0"/>
          <w:kern w:val="2"/>
          <w:sz w:val="32"/>
          <w:szCs w:val="32"/>
          <w:lang w:val="en-US" w:eastAsia="zh-CN" w:bidi="ar-SA"/>
        </w:rPr>
        <w:t>大凉山国际戏剧节</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成都国际音乐剧节</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2021年全国优秀舞剧邀请展演</w:t>
      </w:r>
      <w:r>
        <w:rPr>
          <w:rFonts w:hint="eastAsia" w:ascii="仿宋_GB2312" w:hAnsi="仿宋_GB2312" w:eastAsia="仿宋_GB2312" w:cs="仿宋_GB2312"/>
          <w:b w:val="0"/>
          <w:bCs w:val="0"/>
          <w:kern w:val="2"/>
          <w:sz w:val="32"/>
          <w:szCs w:val="32"/>
          <w:lang w:val="en-US" w:eastAsia="zh-Hans" w:bidi="ar-SA"/>
        </w:rPr>
        <w:t>等品牌演出活动。我省演出经纪机构借力品牌演出活动与赛事，打造新的增长极，促进公司业绩极大提升。</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四川演出展览有限责任公司利用庆祝建党</w:t>
      </w:r>
      <w:r>
        <w:rPr>
          <w:rFonts w:hint="default" w:ascii="仿宋_GB2312" w:hAnsi="仿宋_GB2312" w:eastAsia="仿宋_GB2312" w:cs="仿宋_GB2312"/>
          <w:b w:val="0"/>
          <w:bCs w:val="0"/>
          <w:kern w:val="2"/>
          <w:sz w:val="32"/>
          <w:szCs w:val="32"/>
          <w:lang w:val="en-US" w:eastAsia="zh-Hans" w:bidi="ar-SA"/>
        </w:rPr>
        <w:t>100</w:t>
      </w:r>
      <w:r>
        <w:rPr>
          <w:rFonts w:hint="eastAsia" w:ascii="仿宋_GB2312" w:hAnsi="仿宋_GB2312" w:eastAsia="仿宋_GB2312" w:cs="仿宋_GB2312"/>
          <w:b w:val="0"/>
          <w:bCs w:val="0"/>
          <w:kern w:val="2"/>
          <w:sz w:val="32"/>
          <w:szCs w:val="32"/>
          <w:lang w:val="en-US" w:eastAsia="zh-Hans" w:bidi="ar-SA"/>
        </w:rPr>
        <w:t>周年与首届“剧美天府”优秀剧目展演季契机，自主运营和联合运营了音乐剧《血色湘江》《烽火冼星海》、舞蹈史诗《黄河》、舞剧《沙湾往事》等</w:t>
      </w:r>
      <w:r>
        <w:rPr>
          <w:rFonts w:hint="default" w:ascii="仿宋_GB2312" w:hAnsi="仿宋_GB2312" w:eastAsia="仿宋_GB2312" w:cs="仿宋_GB2312"/>
          <w:b w:val="0"/>
          <w:bCs w:val="0"/>
          <w:kern w:val="2"/>
          <w:sz w:val="32"/>
          <w:szCs w:val="32"/>
          <w:lang w:val="en-US" w:eastAsia="zh-Hans" w:bidi="ar-SA"/>
        </w:rPr>
        <w:t>32</w:t>
      </w:r>
      <w:r>
        <w:rPr>
          <w:rFonts w:hint="eastAsia" w:ascii="仿宋_GB2312" w:hAnsi="仿宋_GB2312" w:eastAsia="仿宋_GB2312" w:cs="仿宋_GB2312"/>
          <w:b w:val="0"/>
          <w:bCs w:val="0"/>
          <w:kern w:val="2"/>
          <w:sz w:val="32"/>
          <w:szCs w:val="32"/>
          <w:lang w:val="en-US" w:eastAsia="zh-Hans" w:bidi="ar-SA"/>
        </w:rPr>
        <w:t>项</w:t>
      </w:r>
      <w:r>
        <w:rPr>
          <w:rFonts w:hint="default" w:ascii="仿宋_GB2312" w:hAnsi="仿宋_GB2312" w:eastAsia="仿宋_GB2312" w:cs="仿宋_GB2312"/>
          <w:b w:val="0"/>
          <w:bCs w:val="0"/>
          <w:kern w:val="2"/>
          <w:sz w:val="32"/>
          <w:szCs w:val="32"/>
          <w:lang w:val="en-US" w:eastAsia="zh-Hans" w:bidi="ar-SA"/>
        </w:rPr>
        <w:t>62</w:t>
      </w:r>
      <w:r>
        <w:rPr>
          <w:rFonts w:hint="eastAsia" w:ascii="仿宋_GB2312" w:hAnsi="仿宋_GB2312" w:eastAsia="仿宋_GB2312" w:cs="仿宋_GB2312"/>
          <w:b w:val="0"/>
          <w:bCs w:val="0"/>
          <w:kern w:val="2"/>
          <w:sz w:val="32"/>
          <w:szCs w:val="32"/>
          <w:lang w:val="en-US" w:eastAsia="zh-Hans" w:bidi="ar-SA"/>
        </w:rPr>
        <w:t>场精品演出剧目。</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四川旅投</w:t>
      </w:r>
      <w:r>
        <w:rPr>
          <w:rFonts w:hint="default" w:ascii="仿宋_GB2312" w:hAnsi="仿宋_GB2312" w:eastAsia="仿宋_GB2312" w:cs="仿宋_GB2312"/>
          <w:b w:val="0"/>
          <w:bCs w:val="0"/>
          <w:kern w:val="2"/>
          <w:sz w:val="32"/>
          <w:szCs w:val="32"/>
          <w:lang w:val="en-US" w:eastAsia="zh-CN" w:bidi="ar-SA"/>
        </w:rPr>
        <w:t>文化发展有限公司</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成都华演</w:t>
      </w:r>
      <w:r>
        <w:rPr>
          <w:rFonts w:hint="default" w:ascii="仿宋_GB2312" w:hAnsi="仿宋_GB2312" w:eastAsia="仿宋_GB2312" w:cs="仿宋_GB2312"/>
          <w:b w:val="0"/>
          <w:bCs w:val="0"/>
          <w:kern w:val="2"/>
          <w:sz w:val="32"/>
          <w:szCs w:val="32"/>
          <w:lang w:val="en-US" w:eastAsia="zh-CN" w:bidi="ar-SA"/>
        </w:rPr>
        <w:t>文化传播有限公司</w:t>
      </w:r>
      <w:r>
        <w:rPr>
          <w:rFonts w:hint="eastAsia" w:ascii="仿宋_GB2312" w:hAnsi="仿宋_GB2312" w:eastAsia="仿宋_GB2312" w:cs="仿宋_GB2312"/>
          <w:b w:val="0"/>
          <w:bCs w:val="0"/>
          <w:kern w:val="2"/>
          <w:sz w:val="32"/>
          <w:szCs w:val="32"/>
          <w:lang w:val="en-US" w:eastAsia="zh-Hans" w:bidi="ar-SA"/>
        </w:rPr>
        <w:t>、四川登满演艺经纪有限公司与四川博奥文化产业发展公司合作，在成都、德阳等运营推出了红色经典芭蕾舞剧《闪闪的红星》。</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CN" w:bidi="ar-SA"/>
        </w:rPr>
        <w:t>四川壹现场文化传播有限公司</w:t>
      </w:r>
      <w:r>
        <w:rPr>
          <w:rFonts w:hint="eastAsia" w:ascii="仿宋_GB2312" w:hAnsi="仿宋_GB2312" w:eastAsia="仿宋_GB2312" w:cs="仿宋_GB2312"/>
          <w:b w:val="0"/>
          <w:bCs w:val="0"/>
          <w:kern w:val="2"/>
          <w:sz w:val="32"/>
          <w:szCs w:val="32"/>
          <w:lang w:val="en-US" w:eastAsia="zh-Hans" w:bidi="ar-SA"/>
        </w:rPr>
        <w:t>依托</w:t>
      </w:r>
      <w:r>
        <w:rPr>
          <w:rFonts w:hint="default" w:ascii="仿宋_GB2312" w:hAnsi="仿宋_GB2312" w:eastAsia="仿宋_GB2312" w:cs="仿宋_GB2312"/>
          <w:b w:val="0"/>
          <w:bCs w:val="0"/>
          <w:kern w:val="2"/>
          <w:sz w:val="32"/>
          <w:szCs w:val="32"/>
          <w:lang w:val="en-US" w:eastAsia="zh-Hans" w:bidi="ar-SA"/>
        </w:rPr>
        <w:t>第十三届中国音乐金钟奖</w:t>
      </w:r>
      <w:r>
        <w:rPr>
          <w:rFonts w:hint="eastAsia" w:ascii="仿宋_GB2312" w:hAnsi="仿宋_GB2312" w:eastAsia="仿宋_GB2312" w:cs="仿宋_GB2312"/>
          <w:b w:val="0"/>
          <w:bCs w:val="0"/>
          <w:kern w:val="2"/>
          <w:sz w:val="32"/>
          <w:szCs w:val="32"/>
          <w:lang w:val="en-US" w:eastAsia="zh-Hans" w:bidi="ar-SA"/>
        </w:rPr>
        <w:t>与</w:t>
      </w:r>
      <w:r>
        <w:rPr>
          <w:rFonts w:hint="default" w:ascii="仿宋_GB2312" w:hAnsi="仿宋_GB2312" w:eastAsia="仿宋_GB2312" w:cs="仿宋_GB2312"/>
          <w:b w:val="0"/>
          <w:bCs w:val="0"/>
          <w:kern w:val="2"/>
          <w:sz w:val="32"/>
          <w:szCs w:val="32"/>
          <w:lang w:val="en-US" w:eastAsia="zh-CN" w:bidi="ar-SA"/>
        </w:rPr>
        <w:t>第27届“蓉城之秋”成都国际音乐季</w:t>
      </w:r>
      <w:r>
        <w:rPr>
          <w:rFonts w:hint="eastAsia" w:ascii="仿宋_GB2312" w:hAnsi="仿宋_GB2312" w:eastAsia="仿宋_GB2312" w:cs="仿宋_GB2312"/>
          <w:b w:val="0"/>
          <w:bCs w:val="0"/>
          <w:kern w:val="2"/>
          <w:sz w:val="32"/>
          <w:szCs w:val="32"/>
          <w:lang w:val="en-US" w:eastAsia="zh-Hans" w:bidi="ar-SA"/>
        </w:rPr>
        <w:t>推出了由中国爱乐乐团、上海交响乐团等国内一流交响乐团演出的</w:t>
      </w:r>
      <w:r>
        <w:rPr>
          <w:rFonts w:hint="default" w:ascii="仿宋_GB2312" w:hAnsi="仿宋_GB2312" w:eastAsia="仿宋_GB2312" w:cs="仿宋_GB2312"/>
          <w:b w:val="0"/>
          <w:bCs w:val="0"/>
          <w:kern w:val="2"/>
          <w:sz w:val="32"/>
          <w:szCs w:val="32"/>
          <w:lang w:val="en-US" w:eastAsia="zh-Hans" w:bidi="ar-SA"/>
        </w:rPr>
        <w:t>6</w:t>
      </w:r>
      <w:r>
        <w:rPr>
          <w:rFonts w:hint="eastAsia" w:ascii="仿宋_GB2312" w:hAnsi="仿宋_GB2312" w:eastAsia="仿宋_GB2312" w:cs="仿宋_GB2312"/>
          <w:b w:val="0"/>
          <w:bCs w:val="0"/>
          <w:kern w:val="2"/>
          <w:sz w:val="32"/>
          <w:szCs w:val="32"/>
          <w:lang w:val="en-US" w:eastAsia="zh-Hans" w:bidi="ar-SA"/>
        </w:rPr>
        <w:t>场</w:t>
      </w:r>
      <w:r>
        <w:rPr>
          <w:rFonts w:hint="default" w:ascii="仿宋_GB2312" w:hAnsi="仿宋_GB2312" w:eastAsia="仿宋_GB2312" w:cs="仿宋_GB2312"/>
          <w:b w:val="0"/>
          <w:bCs w:val="0"/>
          <w:kern w:val="2"/>
          <w:sz w:val="32"/>
          <w:szCs w:val="32"/>
          <w:lang w:val="en-US" w:eastAsia="zh-Hans" w:bidi="ar-SA"/>
        </w:rPr>
        <w:t>高品质</w:t>
      </w:r>
      <w:r>
        <w:rPr>
          <w:rFonts w:hint="eastAsia" w:ascii="仿宋_GB2312" w:hAnsi="仿宋_GB2312" w:eastAsia="仿宋_GB2312" w:cs="仿宋_GB2312"/>
          <w:b w:val="0"/>
          <w:bCs w:val="0"/>
          <w:kern w:val="2"/>
          <w:sz w:val="32"/>
          <w:szCs w:val="32"/>
          <w:lang w:val="en-US" w:eastAsia="zh-Hans" w:bidi="ar-SA"/>
        </w:rPr>
        <w:t>交响</w:t>
      </w:r>
      <w:r>
        <w:rPr>
          <w:rFonts w:hint="default" w:ascii="仿宋_GB2312" w:hAnsi="仿宋_GB2312" w:eastAsia="仿宋_GB2312" w:cs="仿宋_GB2312"/>
          <w:b w:val="0"/>
          <w:bCs w:val="0"/>
          <w:kern w:val="2"/>
          <w:sz w:val="32"/>
          <w:szCs w:val="32"/>
          <w:lang w:val="en-US" w:eastAsia="zh-Hans" w:bidi="ar-SA"/>
        </w:rPr>
        <w:t>音乐会</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Hans" w:bidi="ar-SA"/>
        </w:rPr>
        <w:t>四川世纪星辰文化传媒有限公司</w:t>
      </w:r>
      <w:r>
        <w:rPr>
          <w:rFonts w:hint="eastAsia" w:ascii="仿宋_GB2312" w:hAnsi="仿宋_GB2312" w:eastAsia="仿宋_GB2312" w:cs="仿宋_GB2312"/>
          <w:b w:val="0"/>
          <w:bCs w:val="0"/>
          <w:kern w:val="2"/>
          <w:sz w:val="32"/>
          <w:szCs w:val="32"/>
          <w:lang w:val="en-US" w:eastAsia="zh-Hans" w:bidi="ar-SA"/>
        </w:rPr>
        <w:t>在</w:t>
      </w:r>
      <w:r>
        <w:rPr>
          <w:rFonts w:hint="eastAsia" w:ascii="仿宋_GB2312" w:hAnsi="仿宋_GB2312" w:eastAsia="仿宋_GB2312" w:cs="仿宋_GB2312"/>
          <w:b w:val="0"/>
          <w:bCs w:val="0"/>
          <w:kern w:val="2"/>
          <w:sz w:val="32"/>
          <w:szCs w:val="32"/>
          <w:lang w:val="en-US" w:eastAsia="zh-CN" w:bidi="ar-SA"/>
        </w:rPr>
        <w:t>2021年</w:t>
      </w:r>
      <w:r>
        <w:rPr>
          <w:rFonts w:hint="default" w:ascii="仿宋_GB2312" w:hAnsi="仿宋_GB2312" w:eastAsia="仿宋_GB2312" w:cs="仿宋_GB2312"/>
          <w:b w:val="0"/>
          <w:bCs w:val="0"/>
          <w:kern w:val="2"/>
          <w:sz w:val="32"/>
          <w:szCs w:val="32"/>
          <w:lang w:val="en-US" w:eastAsia="zh-CN" w:bidi="ar-SA"/>
        </w:rPr>
        <w:t>“荟萃蓉城”精品剧目惠民展演暨第四届天府戏剧季</w:t>
      </w:r>
      <w:r>
        <w:rPr>
          <w:rFonts w:hint="eastAsia" w:ascii="仿宋_GB2312" w:hAnsi="仿宋_GB2312" w:eastAsia="仿宋_GB2312" w:cs="仿宋_GB2312"/>
          <w:b w:val="0"/>
          <w:bCs w:val="0"/>
          <w:kern w:val="2"/>
          <w:sz w:val="32"/>
          <w:szCs w:val="32"/>
          <w:lang w:val="en-US" w:eastAsia="zh-Hans" w:bidi="ar-SA"/>
        </w:rPr>
        <w:t>中，成功引进了浙江小百花越剧团越剧《梁山伯与祝英台》</w:t>
      </w:r>
      <w:r>
        <w:rPr>
          <w:rFonts w:hint="default" w:ascii="仿宋_GB2312" w:hAnsi="仿宋_GB2312" w:eastAsia="仿宋_GB2312" w:cs="仿宋_GB2312"/>
          <w:b w:val="0"/>
          <w:bCs w:val="0"/>
          <w:kern w:val="2"/>
          <w:sz w:val="32"/>
          <w:szCs w:val="32"/>
          <w:lang w:val="en-US" w:eastAsia="zh-CN" w:bidi="ar-SA"/>
        </w:rPr>
        <w:t>《陆游与唐琬》</w:t>
      </w:r>
      <w:r>
        <w:rPr>
          <w:rFonts w:hint="eastAsia"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浙江昆剧团昆曲</w:t>
      </w:r>
      <w:r>
        <w:rPr>
          <w:rFonts w:hint="default" w:ascii="仿宋_GB2312" w:hAnsi="仿宋_GB2312" w:eastAsia="仿宋_GB2312" w:cs="仿宋_GB2312"/>
          <w:b w:val="0"/>
          <w:bCs w:val="0"/>
          <w:kern w:val="2"/>
          <w:sz w:val="32"/>
          <w:szCs w:val="32"/>
          <w:lang w:val="en-US" w:eastAsia="zh-CN" w:bidi="ar-SA"/>
        </w:rPr>
        <w:t>《十五贯》《玉簪记》</w:t>
      </w:r>
      <w:r>
        <w:rPr>
          <w:rFonts w:hint="eastAsia" w:ascii="仿宋_GB2312" w:hAnsi="仿宋_GB2312" w:eastAsia="仿宋_GB2312" w:cs="仿宋_GB2312"/>
          <w:b w:val="0"/>
          <w:bCs w:val="0"/>
          <w:kern w:val="2"/>
          <w:sz w:val="32"/>
          <w:szCs w:val="32"/>
          <w:lang w:val="en-US" w:eastAsia="zh-Hans" w:bidi="ar-SA"/>
        </w:rPr>
        <w:t>等多部</w:t>
      </w:r>
      <w:r>
        <w:rPr>
          <w:rFonts w:hint="default" w:ascii="仿宋_GB2312" w:hAnsi="仿宋_GB2312" w:eastAsia="仿宋_GB2312" w:cs="仿宋_GB2312"/>
          <w:b w:val="0"/>
          <w:bCs w:val="0"/>
          <w:kern w:val="2"/>
          <w:sz w:val="32"/>
          <w:szCs w:val="32"/>
          <w:lang w:val="en-US" w:eastAsia="zh-CN" w:bidi="ar-SA"/>
        </w:rPr>
        <w:t>传统戏曲佳作</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在“</w:t>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w:t>
      </w:r>
      <w:r>
        <w:rPr>
          <w:rFonts w:hint="default" w:ascii="仿宋_GB2312" w:hAnsi="仿宋_GB2312" w:eastAsia="仿宋_GB2312" w:cs="仿宋_GB2312"/>
          <w:b w:val="0"/>
          <w:bCs w:val="0"/>
          <w:kern w:val="2"/>
          <w:sz w:val="32"/>
          <w:szCs w:val="32"/>
          <w:lang w:val="en-US" w:eastAsia="zh-CN" w:bidi="ar-SA"/>
        </w:rPr>
        <w:t>大凉山国际戏剧节</w:t>
      </w:r>
      <w:r>
        <w:rPr>
          <w:rFonts w:hint="eastAsia" w:ascii="仿宋_GB2312" w:hAnsi="仿宋_GB2312" w:eastAsia="仿宋_GB2312" w:cs="仿宋_GB2312"/>
          <w:b w:val="0"/>
          <w:bCs w:val="0"/>
          <w:kern w:val="2"/>
          <w:sz w:val="32"/>
          <w:szCs w:val="32"/>
          <w:lang w:val="en-US" w:eastAsia="zh-Hans" w:bidi="ar-SA"/>
        </w:rPr>
        <w:t>”上，凉山文广传媒集团与西昌观海听涛文化等演艺公司引进运营推出</w:t>
      </w:r>
      <w:r>
        <w:rPr>
          <w:rFonts w:hint="eastAsia" w:ascii="仿宋_GB2312" w:hAnsi="仿宋_GB2312" w:eastAsia="仿宋_GB2312" w:cs="仿宋_GB2312"/>
          <w:b w:val="0"/>
          <w:bCs w:val="0"/>
          <w:kern w:val="2"/>
          <w:sz w:val="32"/>
          <w:szCs w:val="32"/>
          <w:lang w:val="en-US" w:eastAsia="zh-CN" w:bidi="ar-SA"/>
        </w:rPr>
        <w:t>话剧《李白》《比萨斜塔》、京剧《智取威虎山》、</w:t>
      </w:r>
      <w:r>
        <w:rPr>
          <w:rFonts w:hint="eastAsia" w:ascii="仿宋_GB2312" w:hAnsi="仿宋_GB2312" w:eastAsia="仿宋_GB2312" w:cs="仿宋_GB2312"/>
          <w:b w:val="0"/>
          <w:bCs w:val="0"/>
          <w:kern w:val="2"/>
          <w:sz w:val="32"/>
          <w:szCs w:val="32"/>
          <w:lang w:val="en-US" w:eastAsia="zh-Hans" w:bidi="ar-SA"/>
        </w:rPr>
        <w:t>舞剧《只此青绿》等</w:t>
      </w:r>
      <w:r>
        <w:rPr>
          <w:rFonts w:hint="default" w:ascii="仿宋_GB2312" w:hAnsi="仿宋_GB2312" w:eastAsia="仿宋_GB2312" w:cs="仿宋_GB2312"/>
          <w:b w:val="0"/>
          <w:bCs w:val="0"/>
          <w:kern w:val="2"/>
          <w:sz w:val="32"/>
          <w:szCs w:val="32"/>
          <w:lang w:val="en-US" w:eastAsia="zh-Hans" w:bidi="ar-SA"/>
        </w:rPr>
        <w:t>7</w:t>
      </w:r>
      <w:r>
        <w:rPr>
          <w:rFonts w:hint="eastAsia" w:ascii="仿宋_GB2312" w:hAnsi="仿宋_GB2312" w:eastAsia="仿宋_GB2312" w:cs="仿宋_GB2312"/>
          <w:b w:val="0"/>
          <w:bCs w:val="0"/>
          <w:kern w:val="2"/>
          <w:sz w:val="32"/>
          <w:szCs w:val="32"/>
          <w:lang w:val="en-US" w:eastAsia="zh-Hans" w:bidi="ar-SA"/>
        </w:rPr>
        <w:t>类</w:t>
      </w:r>
      <w:r>
        <w:rPr>
          <w:rFonts w:hint="default" w:ascii="仿宋_GB2312" w:hAnsi="仿宋_GB2312" w:eastAsia="仿宋_GB2312" w:cs="仿宋_GB2312"/>
          <w:b w:val="0"/>
          <w:bCs w:val="0"/>
          <w:kern w:val="2"/>
          <w:sz w:val="32"/>
          <w:szCs w:val="32"/>
          <w:lang w:val="en-US" w:eastAsia="zh-Hans" w:bidi="ar-SA"/>
        </w:rPr>
        <w:t>22</w:t>
      </w:r>
      <w:r>
        <w:rPr>
          <w:rFonts w:hint="eastAsia" w:ascii="仿宋_GB2312" w:hAnsi="仿宋_GB2312" w:eastAsia="仿宋_GB2312" w:cs="仿宋_GB2312"/>
          <w:b w:val="0"/>
          <w:bCs w:val="0"/>
          <w:kern w:val="2"/>
          <w:sz w:val="32"/>
          <w:szCs w:val="32"/>
          <w:lang w:val="en-US" w:eastAsia="zh-Hans" w:bidi="ar-SA"/>
        </w:rPr>
        <w:t>部</w:t>
      </w:r>
      <w:r>
        <w:rPr>
          <w:rFonts w:hint="default" w:ascii="仿宋_GB2312" w:hAnsi="仿宋_GB2312" w:eastAsia="仿宋_GB2312" w:cs="仿宋_GB2312"/>
          <w:b w:val="0"/>
          <w:bCs w:val="0"/>
          <w:kern w:val="2"/>
          <w:sz w:val="32"/>
          <w:szCs w:val="32"/>
          <w:lang w:val="en-US" w:eastAsia="zh-Hans" w:bidi="ar-SA"/>
        </w:rPr>
        <w:t>37</w:t>
      </w:r>
      <w:r>
        <w:rPr>
          <w:rFonts w:hint="eastAsia" w:ascii="仿宋_GB2312" w:hAnsi="仿宋_GB2312" w:eastAsia="仿宋_GB2312" w:cs="仿宋_GB2312"/>
          <w:b w:val="0"/>
          <w:bCs w:val="0"/>
          <w:kern w:val="2"/>
          <w:sz w:val="32"/>
          <w:szCs w:val="32"/>
          <w:lang w:val="en-US" w:eastAsia="zh-Hans" w:bidi="ar-SA"/>
        </w:rPr>
        <w:t>场优秀剧目。</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（三）业务领域</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为应对日趋激烈的市场竞争，我省大部分单纯从事</w:t>
      </w:r>
      <w:r>
        <w:rPr>
          <w:rFonts w:hint="default" w:ascii="仿宋_GB2312" w:hAnsi="仿宋_GB2312" w:eastAsia="仿宋_GB2312" w:cs="仿宋_GB2312"/>
          <w:b w:val="0"/>
          <w:bCs w:val="0"/>
          <w:kern w:val="2"/>
          <w:sz w:val="32"/>
          <w:szCs w:val="32"/>
          <w:lang w:val="en-US" w:eastAsia="zh-CN" w:bidi="ar-SA"/>
        </w:rPr>
        <w:t>商业性演出</w:t>
      </w:r>
      <w:r>
        <w:rPr>
          <w:rFonts w:hint="eastAsia" w:ascii="仿宋_GB2312" w:hAnsi="仿宋_GB2312" w:eastAsia="仿宋_GB2312" w:cs="仿宋_GB2312"/>
          <w:b w:val="0"/>
          <w:bCs w:val="0"/>
          <w:kern w:val="2"/>
          <w:sz w:val="32"/>
          <w:szCs w:val="32"/>
          <w:lang w:val="en-US" w:eastAsia="zh-Hans" w:bidi="ar-SA"/>
        </w:rPr>
        <w:t>项目运营与承接政府</w:t>
      </w:r>
      <w:r>
        <w:rPr>
          <w:rFonts w:hint="default" w:ascii="仿宋_GB2312" w:hAnsi="仿宋_GB2312" w:eastAsia="仿宋_GB2312" w:cs="仿宋_GB2312"/>
          <w:b w:val="0"/>
          <w:bCs w:val="0"/>
          <w:kern w:val="2"/>
          <w:sz w:val="32"/>
          <w:szCs w:val="32"/>
          <w:lang w:val="en-US" w:eastAsia="zh-CN" w:bidi="ar-SA"/>
        </w:rPr>
        <w:t>公益性</w:t>
      </w:r>
      <w:r>
        <w:rPr>
          <w:rFonts w:hint="eastAsia" w:ascii="仿宋_GB2312" w:hAnsi="仿宋_GB2312" w:eastAsia="仿宋_GB2312" w:cs="仿宋_GB2312"/>
          <w:b w:val="0"/>
          <w:bCs w:val="0"/>
          <w:kern w:val="2"/>
          <w:sz w:val="32"/>
          <w:szCs w:val="32"/>
          <w:lang w:val="en-US" w:eastAsia="zh-Hans" w:bidi="ar-SA"/>
        </w:rPr>
        <w:t>演出项目的简单型经纪机构逐步向演出产业链的上下游延伸，一些演出经纪机构，尤其是规模型演出经纪机构开始向复合型、跨界型经纪机构发展。</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default" w:ascii="方正仿宋_GB2312" w:hAnsi="方正仿宋_GB2312" w:eastAsia="方正仿宋_GB2312" w:cs="方正仿宋_GB2312"/>
          <w:b/>
          <w:bCs/>
          <w:color w:val="auto"/>
          <w:sz w:val="32"/>
          <w:szCs w:val="32"/>
          <w:lang w:val="en-US" w:eastAsia="zh-CN"/>
        </w:rPr>
      </w:pPr>
      <w:r>
        <w:rPr>
          <w:rFonts w:hint="default" w:ascii="方正仿宋_GB2312" w:hAnsi="方正仿宋_GB2312" w:eastAsia="方正仿宋_GB2312" w:cs="方正仿宋_GB2312"/>
          <w:b/>
          <w:bCs/>
          <w:color w:val="auto"/>
          <w:sz w:val="32"/>
          <w:szCs w:val="32"/>
          <w:lang w:val="en-US" w:eastAsia="zh-Hans"/>
        </w:rPr>
        <w:t>1</w:t>
      </w:r>
      <w:r>
        <w:rPr>
          <w:rFonts w:hint="eastAsia" w:ascii="方正仿宋_GB2312" w:hAnsi="方正仿宋_GB2312" w:eastAsia="方正仿宋_GB2312" w:cs="方正仿宋_GB2312"/>
          <w:b/>
          <w:bCs/>
          <w:color w:val="auto"/>
          <w:sz w:val="32"/>
          <w:szCs w:val="32"/>
          <w:lang w:val="en-US" w:eastAsia="zh-Hans"/>
        </w:rPr>
        <w:t>、单一演出经纪活动</w:t>
      </w:r>
      <w:r>
        <w:rPr>
          <w:rFonts w:hint="eastAsia" w:ascii="方正仿宋_GB2312" w:hAnsi="方正仿宋_GB2312" w:eastAsia="方正仿宋_GB2312" w:cs="方正仿宋_GB2312"/>
          <w:b/>
          <w:bCs/>
          <w:color w:val="auto"/>
          <w:sz w:val="32"/>
          <w:szCs w:val="32"/>
          <w:lang w:val="en-US" w:eastAsia="zh-CN"/>
        </w:rPr>
        <w:t>占比较多</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目前，我省约有</w:t>
      </w:r>
      <w:r>
        <w:rPr>
          <w:rFonts w:hint="default" w:ascii="仿宋_GB2312" w:hAnsi="仿宋_GB2312" w:eastAsia="仿宋_GB2312" w:cs="仿宋_GB2312"/>
          <w:b w:val="0"/>
          <w:bCs w:val="0"/>
          <w:kern w:val="2"/>
          <w:sz w:val="32"/>
          <w:szCs w:val="32"/>
          <w:lang w:val="en-US" w:eastAsia="zh-Hans" w:bidi="ar-SA"/>
        </w:rPr>
        <w:t>45%</w:t>
      </w:r>
      <w:r>
        <w:rPr>
          <w:rFonts w:hint="eastAsia" w:ascii="仿宋_GB2312" w:hAnsi="仿宋_GB2312" w:eastAsia="仿宋_GB2312" w:cs="仿宋_GB2312"/>
          <w:b w:val="0"/>
          <w:bCs w:val="0"/>
          <w:kern w:val="2"/>
          <w:sz w:val="32"/>
          <w:szCs w:val="32"/>
          <w:lang w:val="en-US" w:eastAsia="zh-Hans" w:bidi="ar-SA"/>
        </w:rPr>
        <w:t>的演出经纪机构依然从事的是单一的演出经纪活动，主要进行营业性演出项目营运与通过承接政府的走基层文化惠民演出活动、各种节庆活动与企事业单位举办的各种庆典活动。</w:t>
      </w:r>
      <w:r>
        <w:rPr>
          <w:rFonts w:hint="default" w:ascii="仿宋_GB2312" w:hAnsi="仿宋_GB2312" w:eastAsia="仿宋_GB2312" w:cs="仿宋_GB2312"/>
          <w:b w:val="0"/>
          <w:bCs w:val="0"/>
          <w:kern w:val="2"/>
          <w:sz w:val="32"/>
          <w:szCs w:val="32"/>
          <w:lang w:val="en-US" w:eastAsia="zh-Hans" w:bidi="ar-SA"/>
        </w:rPr>
        <w:t xml:space="preserve"> </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2</w:t>
      </w:r>
      <w:r>
        <w:rPr>
          <w:rFonts w:hint="eastAsia" w:ascii="方正仿宋_GB2312" w:hAnsi="方正仿宋_GB2312" w:eastAsia="方正仿宋_GB2312" w:cs="方正仿宋_GB2312"/>
          <w:b/>
          <w:bCs/>
          <w:color w:val="auto"/>
          <w:sz w:val="32"/>
          <w:szCs w:val="32"/>
          <w:lang w:val="en-US" w:eastAsia="zh-Hans"/>
        </w:rPr>
        <w:t>、向演出产业链上下游延伸</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我省部分演出经纪机构为了突破缺少演出节目源和演出场所资源的发展瓶颈，在开展演出项目中介服务的同时，将业务范围向剧目制作与票务经纪等演出产业链的上下游拓展。</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成都大喜时代文化传播有限公司不仅投资建设了大喜时代与大喜国际两个剧场，还组建了属于自己公司的儿童剧创作表演团队，出品了《真假美猴王》《白雪公主》《绿野仙踪》等多部口碑好、票房高的儿童剧。</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CN" w:bidi="ar-SA"/>
        </w:rPr>
        <w:t>四川壹现场文化传播有限公司</w:t>
      </w:r>
      <w:r>
        <w:rPr>
          <w:rFonts w:hint="eastAsia" w:ascii="仿宋_GB2312" w:hAnsi="仿宋_GB2312" w:eastAsia="仿宋_GB2312" w:cs="仿宋_GB2312"/>
          <w:b w:val="0"/>
          <w:bCs w:val="0"/>
          <w:kern w:val="2"/>
          <w:sz w:val="32"/>
          <w:szCs w:val="32"/>
          <w:lang w:val="en-US" w:eastAsia="zh-Hans" w:bidi="ar-SA"/>
        </w:rPr>
        <w:t>在搞好精品演出剧目运营的同时，组建了表演团队成都疯狂剧社，相继推出了喜剧《义字当头》、音乐剧《一封陌生女人来信》等市场潜力大的自编剧目。同时也通过微信公众号建立了自己的票务营销平台。</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Hans" w:bidi="ar-SA"/>
        </w:rPr>
        <w:t>四川省演出展览公司，不仅组建了强有力的剧目宣传推广团队，还建立了智慧售票一体化、智慧营销一体化、智慧检票动态化的票务系统。</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3</w:t>
      </w:r>
      <w:r>
        <w:rPr>
          <w:rFonts w:hint="eastAsia" w:ascii="方正仿宋_GB2312" w:hAnsi="方正仿宋_GB2312" w:eastAsia="方正仿宋_GB2312" w:cs="方正仿宋_GB2312"/>
          <w:b/>
          <w:bCs/>
          <w:color w:val="auto"/>
          <w:sz w:val="32"/>
          <w:szCs w:val="32"/>
          <w:lang w:val="en-US" w:eastAsia="zh-Hans"/>
        </w:rPr>
        <w:t>、向复合型、跨界型演出经纪机构发展</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目前，多个演出经纪机构，尤其是国有演出经纪机构与规模型演出经纪机构的业务范围纷纷向旅游、会展、商业、农业、体育、影视制作等领域拓展，通过“演出</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”赋能激活企业发展新动力，促进企业向优而为、</w:t>
      </w:r>
      <w:r>
        <w:rPr>
          <w:rFonts w:hint="eastAsia" w:ascii="仿宋_GB2312" w:hAnsi="仿宋_GB2312" w:eastAsia="仿宋_GB2312" w:cs="仿宋_GB2312"/>
          <w:b w:val="0"/>
          <w:bCs w:val="0"/>
          <w:kern w:val="2"/>
          <w:sz w:val="32"/>
          <w:szCs w:val="32"/>
          <w:lang w:val="en-US" w:eastAsia="zh-CN" w:bidi="ar-SA"/>
        </w:rPr>
        <w:t>向</w:t>
      </w:r>
      <w:r>
        <w:rPr>
          <w:rFonts w:hint="default" w:ascii="仿宋_GB2312" w:hAnsi="仿宋_GB2312" w:eastAsia="仿宋_GB2312" w:cs="仿宋_GB2312"/>
          <w:b w:val="0"/>
          <w:bCs w:val="0"/>
          <w:kern w:val="2"/>
          <w:sz w:val="32"/>
          <w:szCs w:val="32"/>
          <w:lang w:val="en-US" w:eastAsia="zh-CN" w:bidi="ar-SA"/>
        </w:rPr>
        <w:t>强而</w:t>
      </w:r>
      <w:r>
        <w:rPr>
          <w:rFonts w:hint="eastAsia" w:ascii="仿宋_GB2312" w:hAnsi="仿宋_GB2312" w:eastAsia="仿宋_GB2312" w:cs="仿宋_GB2312"/>
          <w:b w:val="0"/>
          <w:bCs w:val="0"/>
          <w:kern w:val="2"/>
          <w:sz w:val="32"/>
          <w:szCs w:val="32"/>
          <w:lang w:val="en-US" w:eastAsia="zh-Hans" w:bidi="ar-SA"/>
        </w:rPr>
        <w:t>进</w:t>
      </w:r>
      <w:r>
        <w:rPr>
          <w:rFonts w:hint="default" w:ascii="仿宋_GB2312" w:hAnsi="仿宋_GB2312" w:eastAsia="仿宋_GB2312" w:cs="仿宋_GB2312"/>
          <w:b w:val="0"/>
          <w:bCs w:val="0"/>
          <w:kern w:val="2"/>
          <w:sz w:val="32"/>
          <w:szCs w:val="32"/>
          <w:lang w:val="en-US" w:eastAsia="zh-CN" w:bidi="ar-SA"/>
        </w:rPr>
        <w:t>、向大而行</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CN" w:bidi="ar-SA"/>
        </w:rPr>
        <w:t>域上和美集团</w:t>
      </w:r>
      <w:r>
        <w:rPr>
          <w:rFonts w:hint="eastAsia" w:ascii="仿宋_GB2312" w:hAnsi="仿宋_GB2312" w:eastAsia="仿宋_GB2312" w:cs="仿宋_GB2312"/>
          <w:b w:val="0"/>
          <w:bCs w:val="0"/>
          <w:kern w:val="2"/>
          <w:sz w:val="32"/>
          <w:szCs w:val="32"/>
          <w:lang w:val="en-US" w:eastAsia="zh-Hans" w:bidi="ar-SA"/>
        </w:rPr>
        <w:t>在成功出品</w:t>
      </w:r>
      <w:r>
        <w:rPr>
          <w:rFonts w:hint="default" w:ascii="仿宋_GB2312" w:hAnsi="仿宋_GB2312" w:eastAsia="仿宋_GB2312" w:cs="仿宋_GB2312"/>
          <w:b w:val="0"/>
          <w:bCs w:val="0"/>
          <w:kern w:val="2"/>
          <w:sz w:val="32"/>
          <w:szCs w:val="32"/>
          <w:lang w:val="en-US" w:eastAsia="zh-CN" w:bidi="ar-SA"/>
        </w:rPr>
        <w:t>浸没式戏剧《成都偷心》、大型史诗剧《文成公主》</w:t>
      </w:r>
      <w:r>
        <w:rPr>
          <w:rFonts w:hint="eastAsia" w:ascii="仿宋_GB2312" w:hAnsi="仿宋_GB2312" w:eastAsia="仿宋_GB2312" w:cs="仿宋_GB2312"/>
          <w:b w:val="0"/>
          <w:bCs w:val="0"/>
          <w:kern w:val="2"/>
          <w:sz w:val="32"/>
          <w:szCs w:val="32"/>
          <w:lang w:val="en-US" w:eastAsia="zh-Hans" w:bidi="ar-SA"/>
        </w:rPr>
        <w:t>与</w:t>
      </w:r>
      <w:r>
        <w:rPr>
          <w:rFonts w:hint="default" w:ascii="仿宋_GB2312" w:hAnsi="仿宋_GB2312" w:eastAsia="仿宋_GB2312" w:cs="仿宋_GB2312"/>
          <w:b w:val="0"/>
          <w:bCs w:val="0"/>
          <w:kern w:val="2"/>
          <w:sz w:val="32"/>
          <w:szCs w:val="32"/>
          <w:lang w:val="en-US" w:eastAsia="zh-CN" w:bidi="ar-SA"/>
        </w:rPr>
        <w:t>舞台剧《金城公主》</w:t>
      </w:r>
      <w:r>
        <w:rPr>
          <w:rFonts w:hint="eastAsia" w:ascii="仿宋_GB2312" w:hAnsi="仿宋_GB2312" w:eastAsia="仿宋_GB2312" w:cs="仿宋_GB2312"/>
          <w:b w:val="0"/>
          <w:bCs w:val="0"/>
          <w:kern w:val="2"/>
          <w:sz w:val="32"/>
          <w:szCs w:val="32"/>
          <w:lang w:val="en-US" w:eastAsia="zh-Hans" w:bidi="ar-SA"/>
        </w:rPr>
        <w:t>基础上，</w:t>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年在稻城亚丁景区，成功打造了</w:t>
      </w:r>
      <w:r>
        <w:rPr>
          <w:rFonts w:hint="default" w:ascii="仿宋_GB2312" w:hAnsi="仿宋_GB2312" w:eastAsia="仿宋_GB2312" w:cs="仿宋_GB2312"/>
          <w:b w:val="0"/>
          <w:bCs w:val="0"/>
          <w:kern w:val="2"/>
          <w:sz w:val="32"/>
          <w:szCs w:val="32"/>
          <w:lang w:val="en-US" w:eastAsia="zh-CN" w:bidi="ar-SA"/>
        </w:rPr>
        <w:t>根据何马巨著《藏地密码》改编的大型浸没式冒险秀《亚丁密码》</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在北京与故宫博物院、中国东方演艺集团联合打造出品《紫禁城》大型史诗剧，合作推进</w:t>
      </w:r>
      <w:r>
        <w:rPr>
          <w:rFonts w:hint="eastAsia" w:ascii="仿宋_GB2312" w:hAnsi="仿宋_GB2312" w:eastAsia="仿宋_GB2312" w:cs="仿宋_GB2312"/>
          <w:b w:val="0"/>
          <w:bCs w:val="0"/>
          <w:kern w:val="2"/>
          <w:sz w:val="32"/>
          <w:szCs w:val="32"/>
          <w:lang w:val="en-US" w:eastAsia="zh-Hans" w:bidi="ar-SA"/>
        </w:rPr>
        <w:t>了</w:t>
      </w:r>
      <w:r>
        <w:rPr>
          <w:rFonts w:hint="default" w:ascii="仿宋_GB2312" w:hAnsi="仿宋_GB2312" w:eastAsia="仿宋_GB2312" w:cs="仿宋_GB2312"/>
          <w:b w:val="0"/>
          <w:bCs w:val="0"/>
          <w:kern w:val="2"/>
          <w:sz w:val="32"/>
          <w:szCs w:val="32"/>
          <w:lang w:val="en-US" w:eastAsia="zh-CN" w:bidi="ar-SA"/>
        </w:rPr>
        <w:t>《只此青绿》舞蹈诗剧巡演</w:t>
      </w:r>
      <w:r>
        <w:rPr>
          <w:rFonts w:hint="eastAsia" w:ascii="仿宋_GB2312" w:hAnsi="仿宋_GB2312" w:eastAsia="仿宋_GB2312" w:cs="仿宋_GB2312"/>
          <w:b w:val="0"/>
          <w:bCs w:val="0"/>
          <w:kern w:val="2"/>
          <w:sz w:val="32"/>
          <w:szCs w:val="32"/>
          <w:lang w:val="en-US" w:eastAsia="zh-Hans" w:bidi="ar-SA"/>
        </w:rPr>
        <w:t>，并</w:t>
      </w:r>
      <w:r>
        <w:rPr>
          <w:rFonts w:hint="default" w:ascii="仿宋_GB2312" w:hAnsi="仿宋_GB2312" w:eastAsia="仿宋_GB2312" w:cs="仿宋_GB2312"/>
          <w:b w:val="0"/>
          <w:bCs w:val="0"/>
          <w:kern w:val="2"/>
          <w:sz w:val="32"/>
          <w:szCs w:val="32"/>
          <w:lang w:val="en-US" w:eastAsia="zh-CN" w:bidi="ar-SA"/>
        </w:rPr>
        <w:t>拥有</w:t>
      </w:r>
      <w:r>
        <w:rPr>
          <w:rFonts w:hint="eastAsia" w:ascii="仿宋_GB2312" w:hAnsi="仿宋_GB2312" w:eastAsia="仿宋_GB2312" w:cs="仿宋_GB2312"/>
          <w:b w:val="0"/>
          <w:bCs w:val="0"/>
          <w:kern w:val="2"/>
          <w:sz w:val="32"/>
          <w:szCs w:val="32"/>
          <w:lang w:val="en-US" w:eastAsia="zh-Hans" w:bidi="ar-SA"/>
        </w:rPr>
        <w:t>了</w:t>
      </w:r>
      <w:r>
        <w:rPr>
          <w:rFonts w:hint="default" w:ascii="仿宋_GB2312" w:hAnsi="仿宋_GB2312" w:eastAsia="仿宋_GB2312" w:cs="仿宋_GB2312"/>
          <w:b w:val="0"/>
          <w:bCs w:val="0"/>
          <w:kern w:val="2"/>
          <w:sz w:val="32"/>
          <w:szCs w:val="32"/>
          <w:lang w:val="en-US" w:eastAsia="zh-CN" w:bidi="ar-SA"/>
        </w:rPr>
        <w:t>《只此青绿》旅游演艺版独家版权</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CN" w:bidi="ar-SA"/>
        </w:rPr>
        <w:t>成都星娱文化传媒股份有限公司</w:t>
      </w:r>
      <w:r>
        <w:rPr>
          <w:rFonts w:hint="eastAsia" w:ascii="仿宋_GB2312" w:hAnsi="仿宋_GB2312" w:eastAsia="仿宋_GB2312" w:cs="仿宋_GB2312"/>
          <w:b w:val="0"/>
          <w:bCs w:val="0"/>
          <w:kern w:val="2"/>
          <w:sz w:val="32"/>
          <w:szCs w:val="32"/>
          <w:lang w:val="en-US" w:eastAsia="zh-Hans" w:bidi="ar-SA"/>
        </w:rPr>
        <w:t>通过构建</w:t>
      </w:r>
      <w:r>
        <w:rPr>
          <w:rFonts w:hint="default" w:ascii="仿宋_GB2312" w:hAnsi="仿宋_GB2312" w:eastAsia="仿宋_GB2312" w:cs="仿宋_GB2312"/>
          <w:b w:val="0"/>
          <w:bCs w:val="0"/>
          <w:kern w:val="2"/>
          <w:sz w:val="32"/>
          <w:szCs w:val="32"/>
          <w:lang w:val="en-US" w:eastAsia="zh-CN" w:bidi="ar-SA"/>
        </w:rPr>
        <w:t>演唱会</w:t>
      </w:r>
      <w:r>
        <w:rPr>
          <w:rFonts w:hint="eastAsia" w:ascii="仿宋_GB2312" w:hAnsi="仿宋_GB2312" w:eastAsia="仿宋_GB2312" w:cs="仿宋_GB2312"/>
          <w:b w:val="0"/>
          <w:bCs w:val="0"/>
          <w:kern w:val="2"/>
          <w:sz w:val="32"/>
          <w:szCs w:val="32"/>
          <w:lang w:val="en-US" w:eastAsia="zh-Hans" w:bidi="ar-SA"/>
        </w:rPr>
        <w:t>与</w:t>
      </w:r>
      <w:r>
        <w:rPr>
          <w:rFonts w:hint="default" w:ascii="仿宋_GB2312" w:hAnsi="仿宋_GB2312" w:eastAsia="仿宋_GB2312" w:cs="仿宋_GB2312"/>
          <w:b w:val="0"/>
          <w:bCs w:val="0"/>
          <w:kern w:val="2"/>
          <w:sz w:val="32"/>
          <w:szCs w:val="32"/>
          <w:lang w:val="en-US" w:eastAsia="zh-CN" w:bidi="ar-SA"/>
        </w:rPr>
        <w:t>音乐节定制、地方节庆定制、新媒体电商、星娱云等多平台发展</w:t>
      </w:r>
      <w:r>
        <w:rPr>
          <w:rFonts w:hint="eastAsia" w:ascii="仿宋_GB2312" w:hAnsi="仿宋_GB2312" w:eastAsia="仿宋_GB2312" w:cs="仿宋_GB2312"/>
          <w:b w:val="0"/>
          <w:bCs w:val="0"/>
          <w:kern w:val="2"/>
          <w:sz w:val="32"/>
          <w:szCs w:val="32"/>
          <w:lang w:val="en-US" w:eastAsia="zh-Hans" w:bidi="ar-SA"/>
        </w:rPr>
        <w:t>格局</w:t>
      </w:r>
      <w:r>
        <w:rPr>
          <w:rFonts w:hint="default"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打造了“</w:t>
      </w:r>
      <w:r>
        <w:rPr>
          <w:rFonts w:hint="default" w:ascii="仿宋_GB2312" w:hAnsi="仿宋_GB2312" w:eastAsia="仿宋_GB2312" w:cs="仿宋_GB2312"/>
          <w:b w:val="0"/>
          <w:bCs w:val="0"/>
          <w:kern w:val="2"/>
          <w:sz w:val="32"/>
          <w:szCs w:val="32"/>
          <w:lang w:val="en-US" w:eastAsia="zh-CN" w:bidi="ar-SA"/>
        </w:rPr>
        <w:t>红原大草原夏季雅克音乐季</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九寨沟冰雪瀑布音乐节</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汶川熊猫生态音乐季</w:t>
      </w:r>
      <w:r>
        <w:rPr>
          <w:rFonts w:hint="eastAsia" w:ascii="仿宋_GB2312" w:hAnsi="仿宋_GB2312" w:eastAsia="仿宋_GB2312" w:cs="仿宋_GB2312"/>
          <w:b w:val="0"/>
          <w:bCs w:val="0"/>
          <w:kern w:val="2"/>
          <w:sz w:val="32"/>
          <w:szCs w:val="32"/>
          <w:lang w:val="en-US" w:eastAsia="zh-Hans" w:bidi="ar-SA"/>
        </w:rPr>
        <w:t>等品牌活动项目，承办了“</w:t>
      </w:r>
      <w:r>
        <w:rPr>
          <w:rFonts w:hint="default" w:ascii="仿宋_GB2312" w:hAnsi="仿宋_GB2312" w:eastAsia="仿宋_GB2312" w:cs="仿宋_GB2312"/>
          <w:b w:val="0"/>
          <w:bCs w:val="0"/>
          <w:kern w:val="2"/>
          <w:sz w:val="32"/>
          <w:szCs w:val="32"/>
          <w:lang w:val="en-US" w:eastAsia="zh-CN" w:bidi="ar-SA"/>
        </w:rPr>
        <w:t>金川雪梨生活音乐节</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金川古树梨花节</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黑水羊茸森林音乐会</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“仁寿Ye果乡村音乐季”</w:t>
      </w:r>
      <w:r>
        <w:rPr>
          <w:rFonts w:hint="eastAsia" w:ascii="仿宋_GB2312" w:hAnsi="仿宋_GB2312" w:eastAsia="仿宋_GB2312" w:cs="仿宋_GB2312"/>
          <w:b w:val="0"/>
          <w:bCs w:val="0"/>
          <w:kern w:val="2"/>
          <w:sz w:val="32"/>
          <w:szCs w:val="32"/>
          <w:lang w:val="en-US" w:eastAsia="zh-Hans" w:bidi="ar-SA"/>
        </w:rPr>
        <w:t>等多项与乡村振兴相关的演艺活动。</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（四）应对疫情影响</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1</w:t>
      </w:r>
      <w:r>
        <w:rPr>
          <w:rFonts w:hint="eastAsia" w:ascii="方正仿宋_GB2312" w:hAnsi="方正仿宋_GB2312" w:eastAsia="方正仿宋_GB2312" w:cs="方正仿宋_GB2312"/>
          <w:b/>
          <w:bCs/>
          <w:color w:val="auto"/>
          <w:sz w:val="32"/>
          <w:szCs w:val="32"/>
          <w:lang w:val="en-US" w:eastAsia="zh-Hans"/>
        </w:rPr>
        <w:t>、政府出台政策帮助纾困解难</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Hans" w:bidi="ar-SA"/>
        </w:rPr>
        <w:t>2022</w:t>
      </w:r>
      <w:r>
        <w:rPr>
          <w:rFonts w:hint="eastAsia" w:ascii="仿宋_GB2312" w:hAnsi="仿宋_GB2312" w:eastAsia="仿宋_GB2312" w:cs="仿宋_GB2312"/>
          <w:b w:val="0"/>
          <w:bCs w:val="0"/>
          <w:kern w:val="2"/>
          <w:sz w:val="32"/>
          <w:szCs w:val="32"/>
          <w:lang w:val="en-US" w:eastAsia="zh-Hans" w:bidi="ar-SA"/>
        </w:rPr>
        <w:t>年元月，</w:t>
      </w:r>
      <w:r>
        <w:rPr>
          <w:rFonts w:hint="default" w:ascii="仿宋_GB2312" w:hAnsi="仿宋_GB2312" w:eastAsia="仿宋_GB2312" w:cs="仿宋_GB2312"/>
          <w:b w:val="0"/>
          <w:bCs w:val="0"/>
          <w:kern w:val="2"/>
          <w:sz w:val="32"/>
          <w:szCs w:val="32"/>
          <w:lang w:val="en-US" w:eastAsia="zh-CN" w:bidi="ar-SA"/>
        </w:rPr>
        <w:t>四川省财政厅、国家税务总局四川省税务局等十部门联合印发《关于进一步支持中小微企业和个体工商户健康发展的财税政策》，围绕降低企业负担、缓解融资困难、培育市场主体、优化营商环境4个方面，推出10条政策措施，支持市场主体健康发展。</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Hans" w:bidi="ar-SA"/>
        </w:rPr>
        <w:t>2022</w:t>
      </w:r>
      <w:r>
        <w:rPr>
          <w:rFonts w:hint="eastAsia" w:ascii="仿宋_GB2312" w:hAnsi="仿宋_GB2312" w:eastAsia="仿宋_GB2312" w:cs="仿宋_GB2312"/>
          <w:b w:val="0"/>
          <w:bCs w:val="0"/>
          <w:kern w:val="2"/>
          <w:sz w:val="32"/>
          <w:szCs w:val="32"/>
          <w:lang w:val="en-US" w:eastAsia="zh-Hans" w:bidi="ar-SA"/>
        </w:rPr>
        <w:t>年</w:t>
      </w:r>
      <w:r>
        <w:rPr>
          <w:rFonts w:hint="default" w:ascii="仿宋_GB2312" w:hAnsi="仿宋_GB2312" w:eastAsia="仿宋_GB2312" w:cs="仿宋_GB2312"/>
          <w:b w:val="0"/>
          <w:bCs w:val="0"/>
          <w:kern w:val="2"/>
          <w:sz w:val="32"/>
          <w:szCs w:val="32"/>
          <w:lang w:val="en-US" w:eastAsia="zh-Hans" w:bidi="ar-SA"/>
        </w:rPr>
        <w:t>5</w:t>
      </w:r>
      <w:r>
        <w:rPr>
          <w:rFonts w:hint="eastAsia" w:ascii="仿宋_GB2312" w:hAnsi="仿宋_GB2312" w:eastAsia="仿宋_GB2312" w:cs="仿宋_GB2312"/>
          <w:b w:val="0"/>
          <w:bCs w:val="0"/>
          <w:kern w:val="2"/>
          <w:sz w:val="32"/>
          <w:szCs w:val="32"/>
          <w:lang w:val="en-US" w:eastAsia="zh-Hans" w:bidi="ar-SA"/>
        </w:rPr>
        <w:t>月，</w:t>
      </w:r>
      <w:r>
        <w:rPr>
          <w:rFonts w:hint="default" w:ascii="仿宋_GB2312" w:hAnsi="仿宋_GB2312" w:eastAsia="仿宋_GB2312" w:cs="仿宋_GB2312"/>
          <w:b w:val="0"/>
          <w:bCs w:val="0"/>
          <w:kern w:val="2"/>
          <w:sz w:val="32"/>
          <w:szCs w:val="32"/>
          <w:lang w:val="en-US" w:eastAsia="zh-Hans" w:bidi="ar-SA"/>
        </w:rPr>
        <w:t>省文化和旅游厅</w:t>
      </w:r>
      <w:r>
        <w:rPr>
          <w:rFonts w:hint="eastAsia" w:ascii="仿宋_GB2312" w:hAnsi="仿宋_GB2312" w:eastAsia="仿宋_GB2312" w:cs="仿宋_GB2312"/>
          <w:b w:val="0"/>
          <w:bCs w:val="0"/>
          <w:kern w:val="2"/>
          <w:sz w:val="32"/>
          <w:szCs w:val="32"/>
          <w:lang w:val="en-US" w:eastAsia="zh-Hans" w:bidi="ar-SA"/>
        </w:rPr>
        <w:t>联合四川省文化和旅游厅 四川省财政厅、省地方金融监管局、中国人民银行成都分行、中国银行保险监督管理委员会四川监管局出台了</w:t>
      </w:r>
      <w:r>
        <w:rPr>
          <w:rFonts w:hint="default" w:ascii="仿宋_GB2312" w:hAnsi="仿宋_GB2312" w:eastAsia="仿宋_GB2312" w:cs="仿宋_GB2312"/>
          <w:b w:val="0"/>
          <w:bCs w:val="0"/>
          <w:kern w:val="2"/>
          <w:sz w:val="32"/>
          <w:szCs w:val="32"/>
          <w:lang w:val="en-US" w:eastAsia="zh-Hans" w:bidi="ar-SA"/>
        </w:rPr>
        <w:t>《关于进一步支持文化和旅游企业纾困和恢复发展的若干政策》</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帮助文化和旅游企业渡过难关、恢复发展。</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2</w:t>
      </w:r>
      <w:r>
        <w:rPr>
          <w:rFonts w:hint="eastAsia" w:ascii="方正仿宋_GB2312" w:hAnsi="方正仿宋_GB2312" w:eastAsia="方正仿宋_GB2312" w:cs="方正仿宋_GB2312"/>
          <w:b/>
          <w:bCs/>
          <w:color w:val="auto"/>
          <w:sz w:val="32"/>
          <w:szCs w:val="32"/>
          <w:lang w:val="en-US" w:eastAsia="zh-Hans"/>
        </w:rPr>
        <w:t>、企业探路实现逆势增长</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为冲破疫情阴霾，实现</w:t>
      </w:r>
      <w:r>
        <w:rPr>
          <w:rFonts w:hint="default" w:ascii="仿宋_GB2312" w:hAnsi="仿宋_GB2312" w:eastAsia="仿宋_GB2312" w:cs="仿宋_GB2312"/>
          <w:b w:val="0"/>
          <w:bCs w:val="0"/>
          <w:kern w:val="2"/>
          <w:sz w:val="32"/>
          <w:szCs w:val="32"/>
          <w:lang w:val="en-US" w:eastAsia="zh-CN" w:bidi="ar-SA"/>
        </w:rPr>
        <w:t>转“危”为“机”</w:t>
      </w:r>
      <w:r>
        <w:rPr>
          <w:rFonts w:hint="eastAsia" w:ascii="仿宋_GB2312" w:hAnsi="仿宋_GB2312" w:eastAsia="仿宋_GB2312" w:cs="仿宋_GB2312"/>
          <w:b w:val="0"/>
          <w:bCs w:val="0"/>
          <w:kern w:val="2"/>
          <w:sz w:val="32"/>
          <w:szCs w:val="32"/>
          <w:lang w:val="en-US" w:eastAsia="zh-Hans" w:bidi="ar-SA"/>
        </w:rPr>
        <w:t>，部分演出经纪机构</w:t>
      </w:r>
      <w:r>
        <w:rPr>
          <w:rFonts w:hint="default" w:ascii="仿宋_GB2312" w:hAnsi="仿宋_GB2312" w:eastAsia="仿宋_GB2312" w:cs="仿宋_GB2312"/>
          <w:b w:val="0"/>
          <w:bCs w:val="0"/>
          <w:kern w:val="2"/>
          <w:sz w:val="32"/>
          <w:szCs w:val="32"/>
          <w:lang w:val="en-US" w:eastAsia="zh-CN" w:bidi="ar-SA"/>
        </w:rPr>
        <w:t>把握变局</w:t>
      </w:r>
      <w:r>
        <w:rPr>
          <w:rFonts w:hint="eastAsia" w:ascii="仿宋_GB2312" w:hAnsi="仿宋_GB2312" w:eastAsia="仿宋_GB2312" w:cs="仿宋_GB2312"/>
          <w:b w:val="0"/>
          <w:bCs w:val="0"/>
          <w:kern w:val="2"/>
          <w:sz w:val="32"/>
          <w:szCs w:val="32"/>
          <w:lang w:val="en-US" w:eastAsia="zh-Hans" w:bidi="ar-SA"/>
        </w:rPr>
        <w:t>下的创新</w:t>
      </w:r>
      <w:r>
        <w:rPr>
          <w:rFonts w:hint="default" w:ascii="仿宋_GB2312" w:hAnsi="仿宋_GB2312" w:eastAsia="仿宋_GB2312" w:cs="仿宋_GB2312"/>
          <w:b w:val="0"/>
          <w:bCs w:val="0"/>
          <w:kern w:val="2"/>
          <w:sz w:val="32"/>
          <w:szCs w:val="32"/>
          <w:lang w:val="en-US" w:eastAsia="zh-CN" w:bidi="ar-SA"/>
        </w:rPr>
        <w:t>机遇</w:t>
      </w:r>
      <w:r>
        <w:rPr>
          <w:rFonts w:hint="eastAsia" w:ascii="仿宋_GB2312" w:hAnsi="仿宋_GB2312" w:eastAsia="仿宋_GB2312" w:cs="仿宋_GB2312"/>
          <w:b w:val="0"/>
          <w:bCs w:val="0"/>
          <w:kern w:val="2"/>
          <w:sz w:val="32"/>
          <w:szCs w:val="32"/>
          <w:lang w:val="en-US" w:eastAsia="zh-Hans" w:bidi="ar-SA"/>
        </w:rPr>
        <w:t>，探索新思路、新模式，引领企业实现逆势增长。</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四川登满演艺经纪有限公司运用“</w:t>
      </w:r>
      <w:r>
        <w:rPr>
          <w:rFonts w:hint="eastAsia" w:ascii="仿宋_GB2312" w:hAnsi="仿宋_GB2312" w:eastAsia="仿宋_GB2312" w:cs="仿宋_GB2312"/>
          <w:b w:val="0"/>
          <w:bCs w:val="0"/>
          <w:kern w:val="2"/>
          <w:sz w:val="32"/>
          <w:szCs w:val="32"/>
          <w:lang w:val="en-US" w:eastAsia="zh-CN" w:bidi="ar-SA"/>
        </w:rPr>
        <w:t>剧场+演员+运营公司</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共同参与并承担亏盈的运营模式</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在成都、</w:t>
      </w:r>
      <w:r>
        <w:rPr>
          <w:rFonts w:hint="eastAsia" w:ascii="仿宋_GB2312" w:hAnsi="仿宋_GB2312" w:eastAsia="仿宋_GB2312" w:cs="仿宋_GB2312"/>
          <w:b w:val="0"/>
          <w:bCs w:val="0"/>
          <w:kern w:val="2"/>
          <w:sz w:val="32"/>
          <w:szCs w:val="32"/>
          <w:lang w:val="en-US" w:eastAsia="zh-Hans" w:bidi="ar-SA"/>
        </w:rPr>
        <w:t>重庆、</w:t>
      </w:r>
      <w:r>
        <w:rPr>
          <w:rFonts w:hint="eastAsia" w:ascii="仿宋_GB2312" w:hAnsi="仿宋_GB2312" w:eastAsia="仿宋_GB2312" w:cs="仿宋_GB2312"/>
          <w:b w:val="0"/>
          <w:bCs w:val="0"/>
          <w:kern w:val="2"/>
          <w:sz w:val="32"/>
          <w:szCs w:val="32"/>
          <w:lang w:val="en-US" w:eastAsia="zh-CN" w:bidi="ar-SA"/>
        </w:rPr>
        <w:t>德阳、南充、广元、内江、资阳、雅安等</w:t>
      </w:r>
      <w:r>
        <w:rPr>
          <w:rFonts w:hint="default" w:ascii="仿宋_GB2312" w:hAnsi="仿宋_GB2312" w:eastAsia="仿宋_GB2312" w:cs="仿宋_GB2312"/>
          <w:b w:val="0"/>
          <w:bCs w:val="0"/>
          <w:kern w:val="2"/>
          <w:sz w:val="32"/>
          <w:szCs w:val="32"/>
          <w:lang w:val="en-US" w:eastAsia="zh-CN" w:bidi="ar-SA"/>
        </w:rPr>
        <w:t>20</w:t>
      </w:r>
      <w:r>
        <w:rPr>
          <w:rFonts w:hint="eastAsia" w:ascii="仿宋_GB2312" w:hAnsi="仿宋_GB2312" w:eastAsia="仿宋_GB2312" w:cs="仿宋_GB2312"/>
          <w:b w:val="0"/>
          <w:bCs w:val="0"/>
          <w:kern w:val="2"/>
          <w:sz w:val="32"/>
          <w:szCs w:val="32"/>
          <w:lang w:val="en-US" w:eastAsia="zh-Hans" w:bidi="ar-SA"/>
        </w:rPr>
        <w:t>多个</w:t>
      </w:r>
      <w:r>
        <w:rPr>
          <w:rFonts w:hint="eastAsia" w:ascii="仿宋_GB2312" w:hAnsi="仿宋_GB2312" w:eastAsia="仿宋_GB2312" w:cs="仿宋_GB2312"/>
          <w:b w:val="0"/>
          <w:bCs w:val="0"/>
          <w:kern w:val="2"/>
          <w:sz w:val="32"/>
          <w:szCs w:val="32"/>
          <w:lang w:val="en-US" w:eastAsia="zh-CN" w:bidi="ar-SA"/>
        </w:rPr>
        <w:t>城市</w:t>
      </w:r>
      <w:r>
        <w:rPr>
          <w:rFonts w:hint="eastAsia" w:ascii="仿宋_GB2312" w:hAnsi="仿宋_GB2312" w:eastAsia="仿宋_GB2312" w:cs="仿宋_GB2312"/>
          <w:b w:val="0"/>
          <w:bCs w:val="0"/>
          <w:kern w:val="2"/>
          <w:sz w:val="32"/>
          <w:szCs w:val="32"/>
          <w:lang w:val="en-US" w:eastAsia="zh-Hans" w:bidi="ar-SA"/>
        </w:rPr>
        <w:t>策划</w:t>
      </w:r>
      <w:r>
        <w:rPr>
          <w:rFonts w:hint="eastAsia" w:ascii="仿宋_GB2312" w:hAnsi="仿宋_GB2312" w:eastAsia="仿宋_GB2312" w:cs="仿宋_GB2312"/>
          <w:b w:val="0"/>
          <w:bCs w:val="0"/>
          <w:kern w:val="2"/>
          <w:sz w:val="32"/>
          <w:szCs w:val="32"/>
          <w:lang w:val="en-US" w:eastAsia="zh-CN" w:bidi="ar-SA"/>
        </w:rPr>
        <w:t>运营</w:t>
      </w:r>
      <w:r>
        <w:rPr>
          <w:rFonts w:hint="default" w:ascii="仿宋_GB2312" w:hAnsi="仿宋_GB2312" w:eastAsia="仿宋_GB2312" w:cs="仿宋_GB2312"/>
          <w:b w:val="0"/>
          <w:bCs w:val="0"/>
          <w:kern w:val="2"/>
          <w:sz w:val="32"/>
          <w:szCs w:val="32"/>
          <w:lang w:val="en-US" w:eastAsia="zh-Hans" w:bidi="ar-SA"/>
        </w:rPr>
        <w:t>52</w:t>
      </w:r>
      <w:r>
        <w:rPr>
          <w:rFonts w:hint="eastAsia" w:ascii="仿宋_GB2312" w:hAnsi="仿宋_GB2312" w:eastAsia="仿宋_GB2312" w:cs="仿宋_GB2312"/>
          <w:b w:val="0"/>
          <w:bCs w:val="0"/>
          <w:kern w:val="2"/>
          <w:sz w:val="32"/>
          <w:szCs w:val="32"/>
          <w:lang w:val="en-US" w:eastAsia="zh-Hans" w:bidi="ar-SA"/>
        </w:rPr>
        <w:t>场</w:t>
      </w:r>
      <w:r>
        <w:rPr>
          <w:rFonts w:hint="eastAsia" w:ascii="仿宋_GB2312" w:hAnsi="仿宋_GB2312" w:eastAsia="仿宋_GB2312" w:cs="仿宋_GB2312"/>
          <w:b w:val="0"/>
          <w:bCs w:val="0"/>
          <w:kern w:val="2"/>
          <w:sz w:val="32"/>
          <w:szCs w:val="32"/>
          <w:lang w:val="en-US" w:eastAsia="zh-CN" w:bidi="ar-SA"/>
        </w:rPr>
        <w:t>“成渝双城˙城市音乐会”</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通过</w:t>
      </w:r>
      <w:r>
        <w:rPr>
          <w:rFonts w:hint="eastAsia" w:ascii="仿宋_GB2312" w:hAnsi="仿宋_GB2312" w:eastAsia="仿宋_GB2312" w:cs="仿宋_GB2312"/>
          <w:b w:val="0"/>
          <w:bCs w:val="0"/>
          <w:kern w:val="2"/>
          <w:sz w:val="32"/>
          <w:szCs w:val="32"/>
          <w:lang w:val="en-US" w:eastAsia="zh-Hans" w:bidi="ar-SA"/>
        </w:rPr>
        <w:t>“线下演出</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线上直播”，让</w:t>
      </w:r>
      <w:r>
        <w:rPr>
          <w:rFonts w:hint="default" w:ascii="仿宋_GB2312" w:hAnsi="仿宋_GB2312" w:eastAsia="仿宋_GB2312" w:cs="仿宋_GB2312"/>
          <w:b w:val="0"/>
          <w:bCs w:val="0"/>
          <w:kern w:val="2"/>
          <w:sz w:val="32"/>
          <w:szCs w:val="32"/>
          <w:lang w:val="en-US" w:eastAsia="zh-Hans" w:bidi="ar-SA"/>
        </w:rPr>
        <w:t>200</w:t>
      </w:r>
      <w:r>
        <w:rPr>
          <w:rFonts w:hint="eastAsia" w:ascii="仿宋_GB2312" w:hAnsi="仿宋_GB2312" w:eastAsia="仿宋_GB2312" w:cs="仿宋_GB2312"/>
          <w:b w:val="0"/>
          <w:bCs w:val="0"/>
          <w:kern w:val="2"/>
          <w:sz w:val="32"/>
          <w:szCs w:val="32"/>
          <w:lang w:val="en-US" w:eastAsia="zh-Hans" w:bidi="ar-SA"/>
        </w:rPr>
        <w:t>多万观众观看了</w:t>
      </w:r>
      <w:r>
        <w:rPr>
          <w:rFonts w:hint="eastAsia" w:ascii="仿宋_GB2312" w:hAnsi="仿宋_GB2312" w:eastAsia="仿宋_GB2312" w:cs="仿宋_GB2312"/>
          <w:b w:val="0"/>
          <w:bCs w:val="0"/>
          <w:kern w:val="2"/>
          <w:sz w:val="32"/>
          <w:szCs w:val="32"/>
          <w:lang w:val="en-US" w:eastAsia="zh-CN" w:bidi="ar-SA"/>
        </w:rPr>
        <w:t>“成渝双城˙城市音乐会”</w:t>
      </w:r>
      <w:r>
        <w:rPr>
          <w:rFonts w:hint="eastAsia" w:ascii="仿宋_GB2312" w:hAnsi="仿宋_GB2312" w:eastAsia="仿宋_GB2312" w:cs="仿宋_GB2312"/>
          <w:b w:val="0"/>
          <w:bCs w:val="0"/>
          <w:kern w:val="2"/>
          <w:sz w:val="32"/>
          <w:szCs w:val="32"/>
          <w:lang w:val="en-US" w:eastAsia="zh-Hans" w:bidi="ar-SA"/>
        </w:rPr>
        <w:t>演出。</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Hans" w:bidi="ar-SA"/>
        </w:rPr>
        <w:t>四川飞图</w:t>
      </w:r>
      <w:r>
        <w:rPr>
          <w:rFonts w:hint="default" w:ascii="仿宋_GB2312" w:hAnsi="仿宋_GB2312" w:eastAsia="仿宋_GB2312" w:cs="仿宋_GB2312"/>
          <w:b w:val="0"/>
          <w:bCs w:val="0"/>
          <w:kern w:val="2"/>
          <w:sz w:val="32"/>
          <w:szCs w:val="32"/>
          <w:lang w:val="en-US" w:eastAsia="zh-CN" w:bidi="ar-SA"/>
        </w:rPr>
        <w:t>文化发展有限公司</w:t>
      </w:r>
      <w:r>
        <w:rPr>
          <w:rFonts w:hint="eastAsia" w:ascii="仿宋_GB2312" w:hAnsi="仿宋_GB2312" w:eastAsia="仿宋_GB2312" w:cs="仿宋_GB2312"/>
          <w:b w:val="0"/>
          <w:bCs w:val="0"/>
          <w:kern w:val="2"/>
          <w:sz w:val="32"/>
          <w:szCs w:val="32"/>
          <w:lang w:val="en-US" w:eastAsia="zh-Hans" w:bidi="ar-SA"/>
        </w:rPr>
        <w:t>为摆脱疫情反复发生多个演出活动取消的困境，及时调整经营策略，将过去单纯承接政府与企业的演出会展活动项目，延伸到乡村振兴发展，通过承接“丰收节”系列活动、</w:t>
      </w:r>
      <w:r>
        <w:rPr>
          <w:rFonts w:hint="default" w:ascii="仿宋_GB2312" w:hAnsi="仿宋_GB2312" w:eastAsia="仿宋_GB2312" w:cs="仿宋_GB2312"/>
          <w:b w:val="0"/>
          <w:bCs w:val="0"/>
          <w:kern w:val="2"/>
          <w:sz w:val="32"/>
          <w:szCs w:val="32"/>
          <w:lang w:val="en-US" w:eastAsia="zh-CN" w:bidi="ar-SA"/>
        </w:rPr>
        <w:t>“千鹤桑田”蚕桑文化农业主题公园</w:t>
      </w:r>
      <w:r>
        <w:rPr>
          <w:rFonts w:hint="eastAsia" w:ascii="仿宋_GB2312" w:hAnsi="仿宋_GB2312" w:eastAsia="仿宋_GB2312" w:cs="仿宋_GB2312"/>
          <w:b w:val="0"/>
          <w:bCs w:val="0"/>
          <w:kern w:val="2"/>
          <w:sz w:val="32"/>
          <w:szCs w:val="32"/>
          <w:lang w:val="en-US" w:eastAsia="zh-Hans" w:bidi="ar-SA"/>
        </w:rPr>
        <w:t>、乡村精神堡垒与党建陈列室建设等新项目，</w:t>
      </w:r>
      <w:r>
        <w:rPr>
          <w:rFonts w:hint="eastAsia" w:ascii="仿宋_GB2312" w:hAnsi="仿宋_GB2312" w:eastAsia="仿宋_GB2312" w:cs="仿宋_GB2312"/>
          <w:b w:val="0"/>
          <w:bCs w:val="0"/>
          <w:kern w:val="2"/>
          <w:sz w:val="32"/>
          <w:szCs w:val="32"/>
          <w:lang w:val="en-US" w:eastAsia="zh-CN" w:bidi="ar-SA"/>
        </w:rPr>
        <w:t>填补了</w:t>
      </w:r>
      <w:r>
        <w:rPr>
          <w:rFonts w:hint="eastAsia" w:ascii="仿宋_GB2312" w:hAnsi="仿宋_GB2312" w:eastAsia="仿宋_GB2312" w:cs="仿宋_GB2312"/>
          <w:b w:val="0"/>
          <w:bCs w:val="0"/>
          <w:kern w:val="2"/>
          <w:sz w:val="32"/>
          <w:szCs w:val="32"/>
          <w:lang w:val="en-US" w:eastAsia="zh-Hans" w:bidi="ar-SA"/>
        </w:rPr>
        <w:t>疫情影响</w:t>
      </w:r>
      <w:r>
        <w:rPr>
          <w:rFonts w:hint="eastAsia" w:ascii="仿宋_GB2312" w:hAnsi="仿宋_GB2312" w:eastAsia="仿宋_GB2312" w:cs="仿宋_GB2312"/>
          <w:b w:val="0"/>
          <w:bCs w:val="0"/>
          <w:kern w:val="2"/>
          <w:sz w:val="32"/>
          <w:szCs w:val="32"/>
          <w:lang w:val="en-US" w:eastAsia="zh-CN" w:bidi="ar-SA"/>
        </w:rPr>
        <w:t>演出</w:t>
      </w:r>
      <w:r>
        <w:rPr>
          <w:rFonts w:hint="eastAsia" w:ascii="仿宋_GB2312" w:hAnsi="仿宋_GB2312" w:eastAsia="仿宋_GB2312" w:cs="仿宋_GB2312"/>
          <w:b w:val="0"/>
          <w:bCs w:val="0"/>
          <w:kern w:val="2"/>
          <w:sz w:val="32"/>
          <w:szCs w:val="32"/>
          <w:lang w:val="en-US" w:eastAsia="zh-Hans" w:bidi="ar-SA"/>
        </w:rPr>
        <w:t>会展</w:t>
      </w:r>
      <w:r>
        <w:rPr>
          <w:rFonts w:hint="eastAsia" w:ascii="仿宋_GB2312" w:hAnsi="仿宋_GB2312" w:eastAsia="仿宋_GB2312" w:cs="仿宋_GB2312"/>
          <w:b w:val="0"/>
          <w:bCs w:val="0"/>
          <w:kern w:val="2"/>
          <w:sz w:val="32"/>
          <w:szCs w:val="32"/>
          <w:lang w:val="en-US" w:eastAsia="zh-CN" w:bidi="ar-SA"/>
        </w:rPr>
        <w:t>活动</w:t>
      </w:r>
      <w:r>
        <w:rPr>
          <w:rFonts w:hint="eastAsia" w:ascii="仿宋_GB2312" w:hAnsi="仿宋_GB2312" w:eastAsia="仿宋_GB2312" w:cs="仿宋_GB2312"/>
          <w:b w:val="0"/>
          <w:bCs w:val="0"/>
          <w:kern w:val="2"/>
          <w:sz w:val="32"/>
          <w:szCs w:val="32"/>
          <w:lang w:val="en-US" w:eastAsia="zh-Hans" w:bidi="ar-SA"/>
        </w:rPr>
        <w:t>项目</w:t>
      </w:r>
      <w:r>
        <w:rPr>
          <w:rFonts w:hint="eastAsia" w:ascii="仿宋_GB2312" w:hAnsi="仿宋_GB2312" w:eastAsia="仿宋_GB2312" w:cs="仿宋_GB2312"/>
          <w:b w:val="0"/>
          <w:bCs w:val="0"/>
          <w:kern w:val="2"/>
          <w:sz w:val="32"/>
          <w:szCs w:val="32"/>
          <w:lang w:val="en-US" w:eastAsia="zh-CN" w:bidi="ar-SA"/>
        </w:rPr>
        <w:t>减少</w:t>
      </w:r>
      <w:r>
        <w:rPr>
          <w:rFonts w:hint="eastAsia" w:ascii="仿宋_GB2312" w:hAnsi="仿宋_GB2312" w:eastAsia="仿宋_GB2312" w:cs="仿宋_GB2312"/>
          <w:b w:val="0"/>
          <w:bCs w:val="0"/>
          <w:kern w:val="2"/>
          <w:sz w:val="32"/>
          <w:szCs w:val="32"/>
          <w:lang w:val="en-US" w:eastAsia="zh-Hans" w:bidi="ar-SA"/>
        </w:rPr>
        <w:t>的影响，</w:t>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年公司营业收入较疫情前的</w:t>
      </w:r>
      <w:r>
        <w:rPr>
          <w:rFonts w:hint="default" w:ascii="仿宋_GB2312" w:hAnsi="仿宋_GB2312" w:eastAsia="仿宋_GB2312" w:cs="仿宋_GB2312"/>
          <w:b w:val="0"/>
          <w:bCs w:val="0"/>
          <w:kern w:val="2"/>
          <w:sz w:val="32"/>
          <w:szCs w:val="32"/>
          <w:lang w:val="en-US" w:eastAsia="zh-Hans" w:bidi="ar-SA"/>
        </w:rPr>
        <w:t>2019</w:t>
      </w:r>
      <w:r>
        <w:rPr>
          <w:rFonts w:hint="eastAsia" w:ascii="仿宋_GB2312" w:hAnsi="仿宋_GB2312" w:eastAsia="仿宋_GB2312" w:cs="仿宋_GB2312"/>
          <w:b w:val="0"/>
          <w:bCs w:val="0"/>
          <w:kern w:val="2"/>
          <w:sz w:val="32"/>
          <w:szCs w:val="32"/>
          <w:lang w:val="en-US" w:eastAsia="zh-Hans" w:bidi="ar-SA"/>
        </w:rPr>
        <w:t>年增加近</w:t>
      </w:r>
      <w:r>
        <w:rPr>
          <w:rFonts w:hint="default" w:ascii="仿宋_GB2312" w:hAnsi="仿宋_GB2312" w:eastAsia="仿宋_GB2312" w:cs="仿宋_GB2312"/>
          <w:b w:val="0"/>
          <w:bCs w:val="0"/>
          <w:kern w:val="2"/>
          <w:sz w:val="32"/>
          <w:szCs w:val="32"/>
          <w:lang w:val="en-US" w:eastAsia="zh-Hans" w:bidi="ar-SA"/>
        </w:rPr>
        <w:t>300</w:t>
      </w:r>
      <w:r>
        <w:rPr>
          <w:rFonts w:hint="eastAsia" w:ascii="仿宋_GB2312" w:hAnsi="仿宋_GB2312" w:eastAsia="仿宋_GB2312" w:cs="仿宋_GB2312"/>
          <w:b w:val="0"/>
          <w:bCs w:val="0"/>
          <w:kern w:val="2"/>
          <w:sz w:val="32"/>
          <w:szCs w:val="32"/>
          <w:lang w:val="en-US" w:eastAsia="zh-Hans" w:bidi="ar-SA"/>
        </w:rPr>
        <w:t>万，公司员工数量与疫情前的</w:t>
      </w:r>
      <w:r>
        <w:rPr>
          <w:rFonts w:hint="default" w:ascii="仿宋_GB2312" w:hAnsi="仿宋_GB2312" w:eastAsia="仿宋_GB2312" w:cs="仿宋_GB2312"/>
          <w:b w:val="0"/>
          <w:bCs w:val="0"/>
          <w:kern w:val="2"/>
          <w:sz w:val="32"/>
          <w:szCs w:val="32"/>
          <w:lang w:val="en-US" w:eastAsia="zh-Hans" w:bidi="ar-SA"/>
        </w:rPr>
        <w:t>2019</w:t>
      </w:r>
      <w:r>
        <w:rPr>
          <w:rFonts w:hint="eastAsia" w:ascii="仿宋_GB2312" w:hAnsi="仿宋_GB2312" w:eastAsia="仿宋_GB2312" w:cs="仿宋_GB2312"/>
          <w:b w:val="0"/>
          <w:bCs w:val="0"/>
          <w:kern w:val="2"/>
          <w:sz w:val="32"/>
          <w:szCs w:val="32"/>
          <w:lang w:val="en-US" w:eastAsia="zh-Hans" w:bidi="ar-SA"/>
        </w:rPr>
        <w:t>年相比也实现了</w:t>
      </w:r>
      <w:r>
        <w:rPr>
          <w:rFonts w:hint="eastAsia" w:ascii="仿宋_GB2312" w:hAnsi="仿宋_GB2312" w:eastAsia="仿宋_GB2312" w:cs="仿宋_GB2312"/>
          <w:b w:val="0"/>
          <w:bCs w:val="0"/>
          <w:kern w:val="2"/>
          <w:sz w:val="32"/>
          <w:szCs w:val="32"/>
          <w:lang w:val="en-US" w:eastAsia="zh-CN" w:bidi="ar-SA"/>
        </w:rPr>
        <w:t>稳中有增。</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（五）规范经纪行为</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1</w:t>
      </w:r>
      <w:r>
        <w:rPr>
          <w:rFonts w:hint="eastAsia" w:ascii="方正仿宋_GB2312" w:hAnsi="方正仿宋_GB2312" w:eastAsia="方正仿宋_GB2312" w:cs="方正仿宋_GB2312"/>
          <w:b/>
          <w:bCs/>
          <w:color w:val="auto"/>
          <w:sz w:val="32"/>
          <w:szCs w:val="32"/>
          <w:lang w:val="en-US" w:eastAsia="zh-Hans"/>
        </w:rPr>
        <w:t>、主管部门多措并举加强队伍建设和管理</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CN" w:bidi="ar-SA"/>
        </w:rPr>
        <w:t>文化和旅游部</w:t>
      </w:r>
      <w:r>
        <w:rPr>
          <w:rFonts w:hint="eastAsia" w:ascii="仿宋_GB2312" w:hAnsi="仿宋_GB2312" w:eastAsia="仿宋_GB2312" w:cs="仿宋_GB2312"/>
          <w:b w:val="0"/>
          <w:bCs w:val="0"/>
          <w:kern w:val="2"/>
          <w:sz w:val="32"/>
          <w:szCs w:val="32"/>
          <w:lang w:val="en-US" w:eastAsia="zh-Hans" w:bidi="ar-SA"/>
        </w:rPr>
        <w:t>先后</w:t>
      </w:r>
      <w:r>
        <w:rPr>
          <w:rFonts w:hint="default" w:ascii="仿宋_GB2312" w:hAnsi="仿宋_GB2312" w:eastAsia="仿宋_GB2312" w:cs="仿宋_GB2312"/>
          <w:b w:val="0"/>
          <w:bCs w:val="0"/>
          <w:kern w:val="2"/>
          <w:sz w:val="32"/>
          <w:szCs w:val="32"/>
          <w:lang w:val="en-US" w:eastAsia="zh-CN" w:bidi="ar-SA"/>
        </w:rPr>
        <w:t>印发</w:t>
      </w:r>
      <w:r>
        <w:rPr>
          <w:rFonts w:hint="eastAsia" w:ascii="仿宋_GB2312" w:hAnsi="仿宋_GB2312" w:eastAsia="仿宋_GB2312" w:cs="仿宋_GB2312"/>
          <w:b w:val="0"/>
          <w:bCs w:val="0"/>
          <w:kern w:val="2"/>
          <w:sz w:val="32"/>
          <w:szCs w:val="32"/>
          <w:lang w:val="en-US" w:eastAsia="zh-Hans" w:bidi="ar-SA"/>
        </w:rPr>
        <w:t>了</w:t>
      </w:r>
      <w:r>
        <w:rPr>
          <w:rFonts w:hint="default" w:ascii="仿宋_GB2312" w:hAnsi="仿宋_GB2312" w:eastAsia="仿宋_GB2312" w:cs="仿宋_GB2312"/>
          <w:b w:val="0"/>
          <w:bCs w:val="0"/>
          <w:kern w:val="2"/>
          <w:sz w:val="32"/>
          <w:szCs w:val="32"/>
          <w:lang w:val="en-US" w:eastAsia="zh-CN" w:bidi="ar-SA"/>
        </w:rPr>
        <w:t>《关于规范演出经纪行为加强演员管理促进演出市场健康有序发展的通知》</w:t>
      </w:r>
      <w:r>
        <w:rPr>
          <w:rFonts w:hint="eastAsia" w:ascii="仿宋_GB2312" w:hAnsi="仿宋_GB2312" w:eastAsia="仿宋_GB2312" w:cs="仿宋_GB2312"/>
          <w:b w:val="0"/>
          <w:bCs w:val="0"/>
          <w:kern w:val="2"/>
          <w:sz w:val="32"/>
          <w:szCs w:val="32"/>
          <w:lang w:val="en-US" w:eastAsia="zh-Hans" w:bidi="ar-SA"/>
        </w:rPr>
        <w:t>，发布了</w:t>
      </w:r>
      <w:r>
        <w:rPr>
          <w:rFonts w:hint="default" w:ascii="仿宋_GB2312" w:hAnsi="仿宋_GB2312" w:eastAsia="仿宋_GB2312" w:cs="仿宋_GB2312"/>
          <w:b w:val="0"/>
          <w:bCs w:val="0"/>
          <w:kern w:val="2"/>
          <w:sz w:val="32"/>
          <w:szCs w:val="32"/>
          <w:lang w:val="en-US" w:eastAsia="zh-CN" w:bidi="ar-SA"/>
        </w:rPr>
        <w:t>修订后的《演出经纪人员管理办法》</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进一步加强演出经纪人员队伍建设和管理</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省文旅厅召开加强文艺工作者教育管理和道德建设工作座谈会，要求演出经纪机构从业人员</w:t>
      </w:r>
      <w:r>
        <w:rPr>
          <w:rFonts w:hint="eastAsia" w:ascii="仿宋_GB2312" w:hAnsi="仿宋_GB2312" w:eastAsia="仿宋_GB2312" w:cs="仿宋_GB2312"/>
          <w:b w:val="0"/>
          <w:bCs w:val="0"/>
          <w:kern w:val="2"/>
          <w:sz w:val="32"/>
          <w:szCs w:val="32"/>
          <w:lang w:val="en-US" w:eastAsia="zh-CN" w:bidi="ar-SA"/>
        </w:rPr>
        <w:t>加强法律法规和行规行纪学习，自觉遵守党纪国法，坚守责任担当，提升职业操守</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default"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省文旅厅综合执法局加强文化市场执法检查，</w:t>
      </w:r>
      <w:r>
        <w:rPr>
          <w:rFonts w:hint="eastAsia" w:ascii="仿宋_GB2312" w:hAnsi="仿宋_GB2312" w:eastAsia="仿宋_GB2312" w:cs="仿宋_GB2312"/>
          <w:b w:val="0"/>
          <w:bCs w:val="0"/>
          <w:kern w:val="2"/>
          <w:sz w:val="32"/>
          <w:szCs w:val="32"/>
          <w:lang w:val="en-US" w:eastAsia="zh-CN" w:bidi="ar-SA"/>
        </w:rPr>
        <w:t>营造和谐稳定健康的</w:t>
      </w:r>
      <w:r>
        <w:rPr>
          <w:rFonts w:hint="eastAsia" w:ascii="仿宋_GB2312" w:hAnsi="仿宋_GB2312" w:eastAsia="仿宋_GB2312" w:cs="仿宋_GB2312"/>
          <w:b w:val="0"/>
          <w:bCs w:val="0"/>
          <w:kern w:val="2"/>
          <w:sz w:val="32"/>
          <w:szCs w:val="32"/>
          <w:lang w:val="en-US" w:eastAsia="zh-Hans" w:bidi="ar-SA"/>
        </w:rPr>
        <w:t>演出</w:t>
      </w:r>
      <w:r>
        <w:rPr>
          <w:rFonts w:hint="eastAsia" w:ascii="仿宋_GB2312" w:hAnsi="仿宋_GB2312" w:eastAsia="仿宋_GB2312" w:cs="仿宋_GB2312"/>
          <w:b w:val="0"/>
          <w:bCs w:val="0"/>
          <w:kern w:val="2"/>
          <w:sz w:val="32"/>
          <w:szCs w:val="32"/>
          <w:lang w:val="en-US" w:eastAsia="zh-CN" w:bidi="ar-SA"/>
        </w:rPr>
        <w:t>市场发展氛围</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default"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2</w:t>
      </w:r>
      <w:r>
        <w:rPr>
          <w:rFonts w:hint="eastAsia" w:ascii="方正仿宋_GB2312" w:hAnsi="方正仿宋_GB2312" w:eastAsia="方正仿宋_GB2312" w:cs="方正仿宋_GB2312"/>
          <w:b/>
          <w:bCs/>
          <w:color w:val="auto"/>
          <w:sz w:val="32"/>
          <w:szCs w:val="32"/>
          <w:lang w:val="en-US" w:eastAsia="zh-Hans"/>
        </w:rPr>
        <w:t>、行业协会多维度发力强化行业自律</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中国演出行业协会发布了《</w:t>
      </w:r>
      <w:r>
        <w:rPr>
          <w:rFonts w:hint="eastAsia" w:ascii="仿宋_GB2312" w:hAnsi="仿宋_GB2312" w:eastAsia="仿宋_GB2312" w:cs="仿宋_GB2312"/>
          <w:b w:val="0"/>
          <w:bCs w:val="0"/>
          <w:kern w:val="2"/>
          <w:sz w:val="32"/>
          <w:szCs w:val="32"/>
          <w:lang w:val="en-US" w:eastAsia="zh-CN" w:bidi="ar-SA"/>
        </w:rPr>
        <w:t>关于加强演艺人员经纪机构自律管理的公告</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强调艺人经纪机构应承担艺人教育管理责任</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四川省演出行业协会向全省演艺人员发出了：树立正确“三观”，强化“三个意识”，</w:t>
      </w:r>
      <w:r>
        <w:rPr>
          <w:rFonts w:hint="eastAsia" w:ascii="仿宋_GB2312" w:hAnsi="仿宋_GB2312" w:eastAsia="仿宋_GB2312" w:cs="仿宋_GB2312"/>
          <w:b w:val="0"/>
          <w:bCs w:val="0"/>
          <w:kern w:val="2"/>
          <w:sz w:val="32"/>
          <w:szCs w:val="32"/>
          <w:lang w:val="en-US" w:eastAsia="zh-CN" w:bidi="ar-SA"/>
        </w:rPr>
        <w:t>恪守</w:t>
      </w:r>
      <w:r>
        <w:rPr>
          <w:rFonts w:hint="eastAsia" w:ascii="仿宋_GB2312" w:hAnsi="仿宋_GB2312" w:eastAsia="仿宋_GB2312" w:cs="仿宋_GB2312"/>
          <w:b w:val="0"/>
          <w:bCs w:val="0"/>
          <w:kern w:val="2"/>
          <w:sz w:val="32"/>
          <w:szCs w:val="32"/>
          <w:lang w:val="en-US" w:eastAsia="zh-Hans" w:bidi="ar-SA"/>
        </w:rPr>
        <w:t>“两条线”，努力争当</w:t>
      </w:r>
      <w:r>
        <w:rPr>
          <w:rFonts w:hint="eastAsia" w:ascii="仿宋_GB2312" w:hAnsi="仿宋_GB2312" w:eastAsia="仿宋_GB2312" w:cs="仿宋_GB2312"/>
          <w:b w:val="0"/>
          <w:bCs w:val="0"/>
          <w:kern w:val="2"/>
          <w:sz w:val="32"/>
          <w:szCs w:val="32"/>
          <w:lang w:val="en-US" w:eastAsia="zh-CN" w:bidi="ar-SA"/>
        </w:rPr>
        <w:t>有信仰、有情怀、有担当的新时代文艺工作者</w:t>
      </w:r>
      <w:r>
        <w:rPr>
          <w:rFonts w:hint="eastAsia" w:ascii="仿宋_GB2312" w:hAnsi="仿宋_GB2312" w:eastAsia="仿宋_GB2312" w:cs="仿宋_GB2312"/>
          <w:b w:val="0"/>
          <w:bCs w:val="0"/>
          <w:kern w:val="2"/>
          <w:sz w:val="32"/>
          <w:szCs w:val="32"/>
          <w:lang w:val="en-US" w:eastAsia="zh-Hans" w:bidi="ar-SA"/>
        </w:rPr>
        <w:t>的倡议</w:t>
      </w:r>
      <w:r>
        <w:rPr>
          <w:rFonts w:hint="eastAsia" w:ascii="仿宋_GB2312" w:hAnsi="仿宋_GB2312" w:eastAsia="仿宋_GB2312" w:cs="仿宋_GB2312"/>
          <w:b w:val="0"/>
          <w:bCs w:val="0"/>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针对</w:t>
      </w:r>
      <w:r>
        <w:rPr>
          <w:rFonts w:hint="default" w:ascii="仿宋_GB2312" w:hAnsi="仿宋_GB2312" w:eastAsia="仿宋_GB2312" w:cs="仿宋_GB2312"/>
          <w:b w:val="0"/>
          <w:bCs w:val="0"/>
          <w:kern w:val="2"/>
          <w:sz w:val="32"/>
          <w:szCs w:val="32"/>
          <w:lang w:val="en-US" w:eastAsia="zh-Hans" w:bidi="ar-SA"/>
        </w:rPr>
        <w:t>2021</w:t>
      </w:r>
      <w:r>
        <w:rPr>
          <w:rFonts w:hint="eastAsia" w:ascii="仿宋_GB2312" w:hAnsi="仿宋_GB2312" w:eastAsia="仿宋_GB2312" w:cs="仿宋_GB2312"/>
          <w:b w:val="0"/>
          <w:bCs w:val="0"/>
          <w:kern w:val="2"/>
          <w:sz w:val="32"/>
          <w:szCs w:val="32"/>
          <w:lang w:val="en-US" w:eastAsia="zh-Hans" w:bidi="ar-SA"/>
        </w:rPr>
        <w:t>年</w:t>
      </w:r>
      <w:r>
        <w:rPr>
          <w:rFonts w:hint="default" w:ascii="仿宋_GB2312" w:hAnsi="仿宋_GB2312" w:eastAsia="仿宋_GB2312" w:cs="仿宋_GB2312"/>
          <w:b w:val="0"/>
          <w:bCs w:val="0"/>
          <w:kern w:val="2"/>
          <w:sz w:val="32"/>
          <w:szCs w:val="32"/>
          <w:lang w:val="en-US" w:eastAsia="zh-Hans" w:bidi="ar-SA"/>
        </w:rPr>
        <w:t>8</w:t>
      </w:r>
      <w:r>
        <w:rPr>
          <w:rFonts w:hint="eastAsia" w:ascii="仿宋_GB2312" w:hAnsi="仿宋_GB2312" w:eastAsia="仿宋_GB2312" w:cs="仿宋_GB2312"/>
          <w:b w:val="0"/>
          <w:bCs w:val="0"/>
          <w:kern w:val="2"/>
          <w:sz w:val="32"/>
          <w:szCs w:val="32"/>
          <w:lang w:val="en-US" w:eastAsia="zh-Hans" w:bidi="ar-SA"/>
        </w:rPr>
        <w:t>月成都发生</w:t>
      </w:r>
      <w:r>
        <w:rPr>
          <w:rFonts w:hint="eastAsia" w:ascii="仿宋_GB2312" w:hAnsi="仿宋_GB2312" w:eastAsia="仿宋_GB2312" w:cs="仿宋_GB2312"/>
          <w:b w:val="0"/>
          <w:bCs w:val="0"/>
          <w:kern w:val="2"/>
          <w:sz w:val="32"/>
          <w:szCs w:val="32"/>
          <w:lang w:val="en-US" w:eastAsia="zh-CN" w:bidi="ar-SA"/>
        </w:rPr>
        <w:t>“天府少年团”出道、偶像低龄化</w:t>
      </w:r>
      <w:r>
        <w:rPr>
          <w:rFonts w:hint="eastAsia" w:ascii="仿宋_GB2312" w:hAnsi="仿宋_GB2312" w:eastAsia="仿宋_GB2312" w:cs="仿宋_GB2312"/>
          <w:b w:val="0"/>
          <w:bCs w:val="0"/>
          <w:kern w:val="2"/>
          <w:sz w:val="32"/>
          <w:szCs w:val="32"/>
          <w:lang w:val="en-US" w:eastAsia="zh-Hans" w:bidi="ar-SA"/>
        </w:rPr>
        <w:t>事件，四川省演出行业协会</w:t>
      </w:r>
      <w:r>
        <w:rPr>
          <w:rFonts w:hint="eastAsia" w:ascii="仿宋_GB2312" w:hAnsi="仿宋_GB2312" w:eastAsia="仿宋_GB2312" w:cs="仿宋_GB2312"/>
          <w:b w:val="0"/>
          <w:bCs w:val="0"/>
          <w:kern w:val="2"/>
          <w:sz w:val="32"/>
          <w:szCs w:val="32"/>
          <w:lang w:val="en-US" w:eastAsia="zh-CN" w:bidi="ar-SA"/>
        </w:rPr>
        <w:t>发布</w:t>
      </w:r>
      <w:r>
        <w:rPr>
          <w:rFonts w:hint="eastAsia" w:ascii="仿宋_GB2312" w:hAnsi="仿宋_GB2312" w:eastAsia="仿宋_GB2312" w:cs="仿宋_GB2312"/>
          <w:b w:val="0"/>
          <w:bCs w:val="0"/>
          <w:kern w:val="2"/>
          <w:sz w:val="32"/>
          <w:szCs w:val="32"/>
          <w:lang w:val="en-US" w:eastAsia="zh-Hans" w:bidi="ar-SA"/>
        </w:rPr>
        <w:t>了</w:t>
      </w:r>
      <w:r>
        <w:rPr>
          <w:rFonts w:hint="eastAsia" w:ascii="仿宋_GB2312" w:hAnsi="仿宋_GB2312" w:eastAsia="仿宋_GB2312" w:cs="仿宋_GB2312"/>
          <w:b w:val="0"/>
          <w:bCs w:val="0"/>
          <w:kern w:val="2"/>
          <w:sz w:val="32"/>
          <w:szCs w:val="32"/>
          <w:lang w:val="en-US" w:eastAsia="zh-CN" w:bidi="ar-SA"/>
        </w:rPr>
        <w:t>《关于进一步加强演出行业自律管理的通知》</w:t>
      </w:r>
      <w:r>
        <w:rPr>
          <w:rFonts w:hint="eastAsia" w:ascii="仿宋_GB2312" w:hAnsi="仿宋_GB2312" w:eastAsia="仿宋_GB2312" w:cs="仿宋_GB2312"/>
          <w:b w:val="0"/>
          <w:bCs w:val="0"/>
          <w:kern w:val="2"/>
          <w:sz w:val="32"/>
          <w:szCs w:val="32"/>
          <w:lang w:val="en-US" w:eastAsia="zh-Hans" w:bidi="ar-SA"/>
        </w:rPr>
        <w:t>，要求</w:t>
      </w:r>
      <w:r>
        <w:rPr>
          <w:rFonts w:hint="eastAsia" w:ascii="仿宋_GB2312" w:hAnsi="仿宋_GB2312" w:eastAsia="仿宋_GB2312" w:cs="仿宋_GB2312"/>
          <w:b w:val="0"/>
          <w:bCs w:val="0"/>
          <w:kern w:val="2"/>
          <w:sz w:val="32"/>
          <w:szCs w:val="32"/>
          <w:lang w:val="en-US" w:eastAsia="zh-CN" w:bidi="ar-SA"/>
        </w:rPr>
        <w:t>全省</w:t>
      </w:r>
      <w:r>
        <w:rPr>
          <w:rFonts w:hint="eastAsia" w:ascii="仿宋_GB2312" w:hAnsi="仿宋_GB2312" w:eastAsia="仿宋_GB2312" w:cs="仿宋_GB2312"/>
          <w:b w:val="0"/>
          <w:bCs w:val="0"/>
          <w:kern w:val="2"/>
          <w:sz w:val="32"/>
          <w:szCs w:val="32"/>
          <w:lang w:val="en-US" w:eastAsia="zh-Hans" w:bidi="ar-SA"/>
        </w:rPr>
        <w:t>的</w:t>
      </w:r>
      <w:r>
        <w:rPr>
          <w:rFonts w:hint="eastAsia" w:ascii="仿宋_GB2312" w:hAnsi="仿宋_GB2312" w:eastAsia="仿宋_GB2312" w:cs="仿宋_GB2312"/>
          <w:b w:val="0"/>
          <w:bCs w:val="0"/>
          <w:kern w:val="2"/>
          <w:sz w:val="32"/>
          <w:szCs w:val="32"/>
          <w:lang w:val="en-US" w:eastAsia="zh-CN" w:bidi="ar-SA"/>
        </w:rPr>
        <w:t>文艺表演团体</w:t>
      </w:r>
      <w:r>
        <w:rPr>
          <w:rFonts w:hint="eastAsia" w:ascii="仿宋_GB2312" w:hAnsi="仿宋_GB2312" w:eastAsia="仿宋_GB2312" w:cs="仿宋_GB2312"/>
          <w:b w:val="0"/>
          <w:bCs w:val="0"/>
          <w:kern w:val="2"/>
          <w:sz w:val="32"/>
          <w:szCs w:val="32"/>
          <w:lang w:val="en-US" w:eastAsia="zh-Hans" w:bidi="ar-SA"/>
        </w:rPr>
        <w:t>与</w:t>
      </w:r>
      <w:r>
        <w:rPr>
          <w:rFonts w:hint="eastAsia" w:ascii="仿宋_GB2312" w:hAnsi="仿宋_GB2312" w:eastAsia="仿宋_GB2312" w:cs="仿宋_GB2312"/>
          <w:b w:val="0"/>
          <w:bCs w:val="0"/>
          <w:kern w:val="2"/>
          <w:sz w:val="32"/>
          <w:szCs w:val="32"/>
          <w:lang w:val="en-US" w:eastAsia="zh-CN" w:bidi="ar-SA"/>
        </w:rPr>
        <w:t>演出经纪机构</w:t>
      </w:r>
      <w:r>
        <w:rPr>
          <w:rFonts w:hint="eastAsia" w:ascii="仿宋_GB2312" w:hAnsi="仿宋_GB2312" w:eastAsia="仿宋_GB2312" w:cs="仿宋_GB2312"/>
          <w:b w:val="0"/>
          <w:bCs w:val="0"/>
          <w:kern w:val="2"/>
          <w:sz w:val="32"/>
          <w:szCs w:val="32"/>
          <w:lang w:val="en-US" w:eastAsia="zh-Hans" w:bidi="ar-SA"/>
        </w:rPr>
        <w:t>，要</w:t>
      </w:r>
      <w:r>
        <w:rPr>
          <w:rFonts w:hint="eastAsia" w:ascii="仿宋_GB2312" w:hAnsi="仿宋_GB2312" w:eastAsia="仿宋_GB2312" w:cs="仿宋_GB2312"/>
          <w:b w:val="0"/>
          <w:bCs w:val="0"/>
          <w:kern w:val="2"/>
          <w:sz w:val="32"/>
          <w:szCs w:val="32"/>
          <w:lang w:val="en-US" w:eastAsia="zh-CN" w:bidi="ar-SA"/>
        </w:rPr>
        <w:t>切实保护未成年人的合法权益</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坚决抵制利用偶像经济无底线敛财的歪风邪气</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尤其是不能以牺牲未成年人的健康成长为代价，过分追逐低龄化的偶像养成产业</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default" w:ascii="黑体" w:hAnsi="黑体" w:eastAsia="黑体" w:cs="黑体"/>
          <w:b w:val="0"/>
          <w:bCs w:val="0"/>
          <w:color w:val="auto"/>
          <w:sz w:val="32"/>
          <w:szCs w:val="32"/>
          <w:lang w:val="en-US" w:eastAsia="zh-Hans"/>
        </w:rPr>
      </w:pPr>
      <w:r>
        <w:rPr>
          <w:rFonts w:hint="eastAsia" w:ascii="黑体" w:hAnsi="黑体" w:eastAsia="黑体" w:cs="黑体"/>
          <w:b w:val="0"/>
          <w:bCs w:val="0"/>
          <w:color w:val="auto"/>
          <w:sz w:val="32"/>
          <w:szCs w:val="32"/>
          <w:lang w:val="en-US" w:eastAsia="zh-Hans"/>
        </w:rPr>
        <w:t>三、四川</w:t>
      </w:r>
      <w:r>
        <w:rPr>
          <w:rFonts w:hint="eastAsia" w:ascii="黑体" w:hAnsi="黑体" w:eastAsia="黑体" w:cs="黑体"/>
          <w:b w:val="0"/>
          <w:bCs w:val="0"/>
          <w:color w:val="auto"/>
          <w:sz w:val="32"/>
          <w:szCs w:val="32"/>
          <w:lang w:val="en-US" w:eastAsia="zh-CN"/>
        </w:rPr>
        <w:t>省</w:t>
      </w:r>
      <w:r>
        <w:rPr>
          <w:rFonts w:hint="eastAsia" w:ascii="黑体" w:hAnsi="黑体" w:eastAsia="黑体" w:cs="黑体"/>
          <w:b w:val="0"/>
          <w:bCs w:val="0"/>
          <w:color w:val="auto"/>
          <w:sz w:val="32"/>
          <w:szCs w:val="32"/>
          <w:lang w:val="en-US" w:eastAsia="zh-Hans"/>
        </w:rPr>
        <w:t>演出经纪机构发展面临的问题</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1</w:t>
      </w:r>
      <w:r>
        <w:rPr>
          <w:rFonts w:hint="eastAsia" w:ascii="方正仿宋_GB2312" w:hAnsi="方正仿宋_GB2312" w:eastAsia="方正仿宋_GB2312" w:cs="方正仿宋_GB2312"/>
          <w:b/>
          <w:bCs/>
          <w:color w:val="auto"/>
          <w:sz w:val="32"/>
          <w:szCs w:val="32"/>
          <w:lang w:val="en-US" w:eastAsia="zh-Hans"/>
        </w:rPr>
        <w:t>、发展格局小创新动力不足</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我省大部分演出经纪机构依然从事传统演艺行业，收入来源主要靠运营商业性演出项目与承接政府走基层惠民演出活动，面临</w:t>
      </w:r>
      <w:r>
        <w:rPr>
          <w:rFonts w:hint="default" w:ascii="仿宋_GB2312" w:hAnsi="仿宋_GB2312" w:eastAsia="仿宋_GB2312" w:cs="仿宋_GB2312"/>
          <w:b w:val="0"/>
          <w:bCs w:val="0"/>
          <w:kern w:val="2"/>
          <w:sz w:val="32"/>
          <w:szCs w:val="32"/>
          <w:lang w:val="en-US" w:eastAsia="zh-Hans" w:bidi="ar-SA"/>
        </w:rPr>
        <w:t>资源少、格局小、产业链不完整</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盈利能力</w:t>
      </w:r>
      <w:r>
        <w:rPr>
          <w:rFonts w:hint="eastAsia" w:ascii="仿宋_GB2312" w:hAnsi="仿宋_GB2312" w:eastAsia="仿宋_GB2312" w:cs="仿宋_GB2312"/>
          <w:b w:val="0"/>
          <w:bCs w:val="0"/>
          <w:kern w:val="2"/>
          <w:sz w:val="32"/>
          <w:szCs w:val="32"/>
          <w:lang w:val="en-US" w:eastAsia="zh-Hans" w:bidi="ar-SA"/>
        </w:rPr>
        <w:t>弱</w:t>
      </w:r>
      <w:r>
        <w:rPr>
          <w:rFonts w:hint="default" w:ascii="仿宋_GB2312" w:hAnsi="仿宋_GB2312" w:eastAsia="仿宋_GB2312" w:cs="仿宋_GB2312"/>
          <w:b w:val="0"/>
          <w:bCs w:val="0"/>
          <w:kern w:val="2"/>
          <w:sz w:val="32"/>
          <w:szCs w:val="32"/>
          <w:lang w:val="en-US" w:eastAsia="zh-Hans" w:bidi="ar-SA"/>
        </w:rPr>
        <w:t>的</w:t>
      </w:r>
      <w:r>
        <w:rPr>
          <w:rFonts w:hint="eastAsia" w:ascii="仿宋_GB2312" w:hAnsi="仿宋_GB2312" w:eastAsia="仿宋_GB2312" w:cs="仿宋_GB2312"/>
          <w:b w:val="0"/>
          <w:bCs w:val="0"/>
          <w:kern w:val="2"/>
          <w:sz w:val="32"/>
          <w:szCs w:val="32"/>
          <w:lang w:val="en-US" w:eastAsia="zh-Hans" w:bidi="ar-SA"/>
        </w:rPr>
        <w:t>困境。探索多元化可盈利的模式、拓展可持续发展的业务领域还是空白。</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2</w:t>
      </w:r>
      <w:r>
        <w:rPr>
          <w:rFonts w:hint="eastAsia" w:ascii="方正仿宋_GB2312" w:hAnsi="方正仿宋_GB2312" w:eastAsia="方正仿宋_GB2312" w:cs="方正仿宋_GB2312"/>
          <w:b/>
          <w:bCs/>
          <w:color w:val="auto"/>
          <w:sz w:val="32"/>
          <w:szCs w:val="32"/>
          <w:lang w:val="en-US" w:eastAsia="zh-Hans"/>
        </w:rPr>
        <w:t>、高素质复合型人才相对匮乏</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Times New Roman" w:hAnsi="Times New Roman" w:eastAsia="仿宋_GB2312"/>
          <w:color w:val="auto"/>
          <w:sz w:val="30"/>
          <w:szCs w:val="30"/>
          <w:lang w:val="en-US" w:eastAsia="zh-CN"/>
        </w:rPr>
      </w:pPr>
      <w:r>
        <w:rPr>
          <w:rFonts w:hint="eastAsia" w:ascii="仿宋_GB2312" w:hAnsi="仿宋_GB2312" w:eastAsia="仿宋_GB2312" w:cs="仿宋_GB2312"/>
          <w:b w:val="0"/>
          <w:bCs w:val="0"/>
          <w:kern w:val="2"/>
          <w:sz w:val="32"/>
          <w:szCs w:val="32"/>
          <w:lang w:val="en-US" w:eastAsia="zh-CN" w:bidi="ar-SA"/>
        </w:rPr>
        <w:t>新技术、新空间、新模式、新业态在</w:t>
      </w:r>
      <w:r>
        <w:rPr>
          <w:rFonts w:hint="eastAsia" w:ascii="仿宋_GB2312" w:hAnsi="仿宋_GB2312" w:eastAsia="仿宋_GB2312" w:cs="仿宋_GB2312"/>
          <w:b w:val="0"/>
          <w:bCs w:val="0"/>
          <w:kern w:val="2"/>
          <w:sz w:val="32"/>
          <w:szCs w:val="32"/>
          <w:lang w:val="en-US" w:eastAsia="zh-Hans" w:bidi="ar-SA"/>
        </w:rPr>
        <w:t>演出行业</w:t>
      </w:r>
      <w:r>
        <w:rPr>
          <w:rFonts w:hint="eastAsia" w:ascii="仿宋_GB2312" w:hAnsi="仿宋_GB2312" w:eastAsia="仿宋_GB2312" w:cs="仿宋_GB2312"/>
          <w:b w:val="0"/>
          <w:bCs w:val="0"/>
          <w:kern w:val="2"/>
          <w:sz w:val="32"/>
          <w:szCs w:val="32"/>
          <w:lang w:val="en-US" w:eastAsia="zh-CN" w:bidi="ar-SA"/>
        </w:rPr>
        <w:t>产业链的有效应用，激发了行业在演艺方式、演艺空间、跨界融合、</w:t>
      </w:r>
      <w:r>
        <w:rPr>
          <w:rFonts w:hint="eastAsia" w:ascii="仿宋_GB2312" w:hAnsi="仿宋_GB2312" w:eastAsia="仿宋_GB2312" w:cs="仿宋_GB2312"/>
          <w:b w:val="0"/>
          <w:bCs w:val="0"/>
          <w:kern w:val="2"/>
          <w:sz w:val="32"/>
          <w:szCs w:val="32"/>
          <w:lang w:val="en-US" w:eastAsia="zh-Hans" w:bidi="ar-SA"/>
        </w:rPr>
        <w:t>运营</w:t>
      </w:r>
      <w:r>
        <w:rPr>
          <w:rFonts w:hint="eastAsia" w:ascii="仿宋_GB2312" w:hAnsi="仿宋_GB2312" w:eastAsia="仿宋_GB2312" w:cs="仿宋_GB2312"/>
          <w:b w:val="0"/>
          <w:bCs w:val="0"/>
          <w:kern w:val="2"/>
          <w:sz w:val="32"/>
          <w:szCs w:val="32"/>
          <w:lang w:val="en-US" w:eastAsia="zh-CN" w:bidi="ar-SA"/>
        </w:rPr>
        <w:t>模式等方面</w:t>
      </w:r>
      <w:r>
        <w:rPr>
          <w:rFonts w:hint="eastAsia" w:ascii="仿宋_GB2312" w:hAnsi="仿宋_GB2312" w:eastAsia="仿宋_GB2312" w:cs="仿宋_GB2312"/>
          <w:b w:val="0"/>
          <w:bCs w:val="0"/>
          <w:kern w:val="2"/>
          <w:sz w:val="32"/>
          <w:szCs w:val="32"/>
          <w:lang w:val="en-US" w:eastAsia="zh-Hans" w:bidi="ar-SA"/>
        </w:rPr>
        <w:t>的</w:t>
      </w:r>
      <w:r>
        <w:rPr>
          <w:rFonts w:hint="eastAsia" w:ascii="仿宋_GB2312" w:hAnsi="仿宋_GB2312" w:eastAsia="仿宋_GB2312" w:cs="仿宋_GB2312"/>
          <w:b w:val="0"/>
          <w:bCs w:val="0"/>
          <w:kern w:val="2"/>
          <w:sz w:val="32"/>
          <w:szCs w:val="32"/>
          <w:lang w:val="en-US" w:eastAsia="zh-CN" w:bidi="ar-SA"/>
        </w:rPr>
        <w:t>快速转变</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成为演出市场持续增长的新动能</w:t>
      </w:r>
      <w:r>
        <w:rPr>
          <w:rFonts w:hint="eastAsia" w:ascii="仿宋_GB2312" w:hAnsi="仿宋_GB2312" w:eastAsia="仿宋_GB2312" w:cs="仿宋_GB2312"/>
          <w:b w:val="0"/>
          <w:bCs w:val="0"/>
          <w:kern w:val="2"/>
          <w:sz w:val="32"/>
          <w:szCs w:val="32"/>
          <w:lang w:val="en-US" w:eastAsia="zh-Hans" w:bidi="ar-SA"/>
        </w:rPr>
        <w:t>。但目前我省的演出经纪机构还普遍存在缺乏具备</w:t>
      </w:r>
      <w:r>
        <w:rPr>
          <w:rFonts w:hint="eastAsia" w:ascii="仿宋_GB2312" w:hAnsi="仿宋_GB2312" w:eastAsia="仿宋_GB2312" w:cs="仿宋_GB2312"/>
          <w:b w:val="0"/>
          <w:bCs w:val="0"/>
          <w:kern w:val="2"/>
          <w:sz w:val="32"/>
          <w:szCs w:val="32"/>
          <w:lang w:val="en-US" w:eastAsia="zh-CN" w:bidi="ar-SA"/>
        </w:rPr>
        <w:t>过硬市场运作和科学经营管理</w:t>
      </w:r>
      <w:r>
        <w:rPr>
          <w:rFonts w:hint="eastAsia" w:ascii="仿宋_GB2312" w:hAnsi="仿宋_GB2312" w:eastAsia="仿宋_GB2312" w:cs="仿宋_GB2312"/>
          <w:b w:val="0"/>
          <w:bCs w:val="0"/>
          <w:kern w:val="2"/>
          <w:sz w:val="32"/>
          <w:szCs w:val="32"/>
          <w:lang w:val="en-US" w:eastAsia="zh-Hans" w:bidi="ar-SA"/>
        </w:rPr>
        <w:t>、具有</w:t>
      </w:r>
      <w:r>
        <w:rPr>
          <w:rFonts w:hint="eastAsia" w:ascii="仿宋_GB2312" w:hAnsi="仿宋_GB2312" w:eastAsia="仿宋_GB2312" w:cs="仿宋_GB2312"/>
          <w:b w:val="0"/>
          <w:bCs w:val="0"/>
          <w:kern w:val="2"/>
          <w:sz w:val="32"/>
          <w:szCs w:val="32"/>
          <w:lang w:val="en-US" w:eastAsia="zh-CN" w:bidi="ar-SA"/>
        </w:rPr>
        <w:t>开拓创新勇气与推进业态跨界融合能力</w:t>
      </w:r>
      <w:r>
        <w:rPr>
          <w:rFonts w:hint="eastAsia" w:ascii="仿宋_GB2312" w:hAnsi="仿宋_GB2312" w:eastAsia="仿宋_GB2312" w:cs="仿宋_GB2312"/>
          <w:b w:val="0"/>
          <w:bCs w:val="0"/>
          <w:kern w:val="2"/>
          <w:sz w:val="32"/>
          <w:szCs w:val="32"/>
          <w:lang w:val="en-US" w:eastAsia="zh-Hans" w:bidi="ar-SA"/>
        </w:rPr>
        <w:t>的高素质、复合型人才。</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default" w:ascii="方正仿宋_GB2312" w:hAnsi="方正仿宋_GB2312" w:eastAsia="方正仿宋_GB2312" w:cs="方正仿宋_GB2312"/>
          <w:b/>
          <w:bCs/>
          <w:color w:val="auto"/>
          <w:sz w:val="32"/>
          <w:szCs w:val="32"/>
          <w:lang w:val="en-US" w:eastAsia="zh-Hans"/>
        </w:rPr>
        <w:t>3</w:t>
      </w:r>
      <w:r>
        <w:rPr>
          <w:rFonts w:hint="eastAsia" w:ascii="方正仿宋_GB2312" w:hAnsi="方正仿宋_GB2312" w:eastAsia="方正仿宋_GB2312" w:cs="方正仿宋_GB2312"/>
          <w:b/>
          <w:bCs/>
          <w:color w:val="auto"/>
          <w:sz w:val="32"/>
          <w:szCs w:val="32"/>
          <w:lang w:val="en-US" w:eastAsia="zh-Hans"/>
        </w:rPr>
        <w:t>、企业之间竞争将日趋激烈</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近年来，受疫情影响演艺市场持续低迷。但当疫情得到控制，演艺产业开始复苏步入正常发展轨道后，疫情中倒闭的一些演出经纪机构与转岗就业人员将重新回归到演出经纪行业。一方面，发展良好的老牌演艺企业会</w:t>
      </w:r>
      <w:r>
        <w:rPr>
          <w:rFonts w:hint="eastAsia" w:ascii="仿宋_GB2312" w:hAnsi="仿宋_GB2312" w:eastAsia="仿宋_GB2312" w:cs="仿宋_GB2312"/>
          <w:b w:val="0"/>
          <w:bCs w:val="0"/>
          <w:kern w:val="2"/>
          <w:sz w:val="32"/>
          <w:szCs w:val="32"/>
          <w:lang w:val="en-US" w:eastAsia="zh-CN" w:bidi="ar-SA"/>
        </w:rPr>
        <w:t>不断扩大规模加快发展</w:t>
      </w:r>
      <w:r>
        <w:rPr>
          <w:rFonts w:hint="eastAsia" w:ascii="仿宋_GB2312" w:hAnsi="仿宋_GB2312" w:eastAsia="仿宋_GB2312" w:cs="仿宋_GB2312"/>
          <w:b w:val="0"/>
          <w:bCs w:val="0"/>
          <w:kern w:val="2"/>
          <w:sz w:val="32"/>
          <w:szCs w:val="32"/>
          <w:lang w:val="en-US" w:eastAsia="zh-Hans" w:bidi="ar-SA"/>
        </w:rPr>
        <w:t>；另一方面，新兴的演出经纪机构</w:t>
      </w:r>
      <w:r>
        <w:rPr>
          <w:rFonts w:hint="eastAsia" w:ascii="仿宋_GB2312" w:hAnsi="仿宋_GB2312" w:eastAsia="仿宋_GB2312" w:cs="仿宋_GB2312"/>
          <w:b w:val="0"/>
          <w:bCs w:val="0"/>
          <w:kern w:val="2"/>
          <w:sz w:val="32"/>
          <w:szCs w:val="32"/>
          <w:lang w:val="en-US" w:eastAsia="zh-CN" w:bidi="ar-SA"/>
        </w:rPr>
        <w:t>也</w:t>
      </w:r>
      <w:r>
        <w:rPr>
          <w:rFonts w:hint="eastAsia" w:ascii="仿宋_GB2312" w:hAnsi="仿宋_GB2312" w:eastAsia="仿宋_GB2312" w:cs="仿宋_GB2312"/>
          <w:b w:val="0"/>
          <w:bCs w:val="0"/>
          <w:kern w:val="2"/>
          <w:sz w:val="32"/>
          <w:szCs w:val="32"/>
          <w:lang w:val="en-US" w:eastAsia="zh-Hans" w:bidi="ar-SA"/>
        </w:rPr>
        <w:t>将在演出市场</w:t>
      </w:r>
      <w:r>
        <w:rPr>
          <w:rFonts w:hint="eastAsia" w:ascii="仿宋_GB2312" w:hAnsi="仿宋_GB2312" w:eastAsia="仿宋_GB2312" w:cs="仿宋_GB2312"/>
          <w:b w:val="0"/>
          <w:bCs w:val="0"/>
          <w:kern w:val="2"/>
          <w:sz w:val="32"/>
          <w:szCs w:val="32"/>
          <w:lang w:val="en-US" w:eastAsia="zh-CN" w:bidi="ar-SA"/>
        </w:rPr>
        <w:t>中积极找寻新的切入点</w:t>
      </w:r>
      <w:r>
        <w:rPr>
          <w:rFonts w:hint="eastAsia" w:ascii="仿宋_GB2312" w:hAnsi="仿宋_GB2312" w:eastAsia="仿宋_GB2312" w:cs="仿宋_GB2312"/>
          <w:b w:val="0"/>
          <w:bCs w:val="0"/>
          <w:kern w:val="2"/>
          <w:sz w:val="32"/>
          <w:szCs w:val="32"/>
          <w:lang w:val="en-US" w:eastAsia="zh-Hans" w:bidi="ar-SA"/>
        </w:rPr>
        <w:t>；加上省外实力强、影响力大的演出经纪机构纷纷入川进入演出市场活跃的中心城市成都后，下一步我省演出经纪机构之间的竞争将日趋激烈。</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default" w:ascii="黑体" w:hAnsi="黑体" w:eastAsia="黑体" w:cs="黑体"/>
          <w:b w:val="0"/>
          <w:bCs w:val="0"/>
          <w:color w:val="auto"/>
          <w:sz w:val="32"/>
          <w:szCs w:val="32"/>
          <w:lang w:val="en-US" w:eastAsia="zh-Hans"/>
        </w:rPr>
      </w:pPr>
      <w:r>
        <w:rPr>
          <w:rFonts w:hint="eastAsia" w:ascii="黑体" w:hAnsi="黑体" w:eastAsia="黑体" w:cs="黑体"/>
          <w:b w:val="0"/>
          <w:bCs w:val="0"/>
          <w:color w:val="auto"/>
          <w:sz w:val="32"/>
          <w:szCs w:val="32"/>
          <w:lang w:val="en-US" w:eastAsia="zh-Hans"/>
        </w:rPr>
        <w:t>四、四川</w:t>
      </w:r>
      <w:r>
        <w:rPr>
          <w:rFonts w:hint="eastAsia" w:ascii="黑体" w:hAnsi="黑体" w:eastAsia="黑体" w:cs="黑体"/>
          <w:b w:val="0"/>
          <w:bCs w:val="0"/>
          <w:color w:val="auto"/>
          <w:sz w:val="32"/>
          <w:szCs w:val="32"/>
          <w:lang w:val="en-US" w:eastAsia="zh-CN"/>
        </w:rPr>
        <w:t>省</w:t>
      </w:r>
      <w:r>
        <w:rPr>
          <w:rFonts w:hint="eastAsia" w:ascii="黑体" w:hAnsi="黑体" w:eastAsia="黑体" w:cs="黑体"/>
          <w:b w:val="0"/>
          <w:bCs w:val="0"/>
          <w:color w:val="auto"/>
          <w:sz w:val="32"/>
          <w:szCs w:val="32"/>
          <w:lang w:val="en-US" w:eastAsia="zh-Hans"/>
        </w:rPr>
        <w:t>演出经纪机构的发展趋势</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CN"/>
        </w:rPr>
        <w:t>（</w:t>
      </w:r>
      <w:r>
        <w:rPr>
          <w:rFonts w:hint="eastAsia" w:ascii="方正仿宋_GB2312" w:hAnsi="方正仿宋_GB2312" w:eastAsia="方正仿宋_GB2312" w:cs="方正仿宋_GB2312"/>
          <w:b/>
          <w:bCs/>
          <w:color w:val="auto"/>
          <w:sz w:val="32"/>
          <w:szCs w:val="32"/>
          <w:lang w:val="en-US" w:eastAsia="zh-Hans"/>
        </w:rPr>
        <w:t>一）单一型向复合型、跨界型演出经纪机构转化</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在</w:t>
      </w:r>
      <w:r>
        <w:rPr>
          <w:rFonts w:hint="eastAsia"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文化</w:t>
      </w:r>
      <w:r>
        <w:rPr>
          <w:rFonts w:hint="eastAsia" w:ascii="仿宋_GB2312" w:hAnsi="仿宋_GB2312" w:eastAsia="仿宋_GB2312" w:cs="仿宋_GB2312"/>
          <w:b w:val="0"/>
          <w:bCs w:val="0"/>
          <w:kern w:val="2"/>
          <w:sz w:val="32"/>
          <w:szCs w:val="32"/>
          <w:lang w:val="en-US" w:eastAsia="zh-CN" w:bidi="ar-SA"/>
        </w:rPr>
        <w:t>+旅游”</w:t>
      </w:r>
      <w:r>
        <w:rPr>
          <w:rFonts w:hint="eastAsia" w:ascii="仿宋_GB2312" w:hAnsi="仿宋_GB2312" w:eastAsia="仿宋_GB2312" w:cs="仿宋_GB2312"/>
          <w:b w:val="0"/>
          <w:bCs w:val="0"/>
          <w:kern w:val="2"/>
          <w:sz w:val="32"/>
          <w:szCs w:val="32"/>
          <w:lang w:val="en-US" w:eastAsia="zh-Hans" w:bidi="ar-SA"/>
        </w:rPr>
        <w:t>与</w:t>
      </w:r>
      <w:r>
        <w:rPr>
          <w:rFonts w:hint="eastAsia" w:ascii="仿宋_GB2312" w:hAnsi="仿宋_GB2312" w:eastAsia="仿宋_GB2312" w:cs="仿宋_GB2312"/>
          <w:b w:val="0"/>
          <w:bCs w:val="0"/>
          <w:kern w:val="2"/>
          <w:sz w:val="32"/>
          <w:szCs w:val="32"/>
          <w:lang w:val="en-US" w:eastAsia="zh-CN" w:bidi="ar-SA"/>
        </w:rPr>
        <w:t>“产业融合”</w:t>
      </w:r>
      <w:r>
        <w:rPr>
          <w:rFonts w:hint="default" w:ascii="仿宋_GB2312" w:hAnsi="仿宋_GB2312" w:eastAsia="仿宋_GB2312" w:cs="仿宋_GB2312"/>
          <w:b w:val="0"/>
          <w:bCs w:val="0"/>
          <w:kern w:val="2"/>
          <w:sz w:val="32"/>
          <w:szCs w:val="32"/>
          <w:lang w:val="en-US" w:eastAsia="zh-CN" w:bidi="ar-SA"/>
        </w:rPr>
        <w:t>态势下</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演艺</w:t>
      </w:r>
      <w:r>
        <w:rPr>
          <w:rFonts w:hint="eastAsia" w:ascii="仿宋_GB2312" w:hAnsi="仿宋_GB2312" w:eastAsia="仿宋_GB2312" w:cs="仿宋_GB2312"/>
          <w:b w:val="0"/>
          <w:bCs w:val="0"/>
          <w:kern w:val="2"/>
          <w:sz w:val="32"/>
          <w:szCs w:val="32"/>
          <w:lang w:val="en-US" w:eastAsia="zh-Hans" w:bidi="ar-SA"/>
        </w:rPr>
        <w:t>产业</w:t>
      </w:r>
      <w:r>
        <w:rPr>
          <w:rFonts w:hint="default" w:ascii="仿宋_GB2312" w:hAnsi="仿宋_GB2312" w:eastAsia="仿宋_GB2312" w:cs="仿宋_GB2312"/>
          <w:b w:val="0"/>
          <w:bCs w:val="0"/>
          <w:kern w:val="2"/>
          <w:sz w:val="32"/>
          <w:szCs w:val="32"/>
          <w:lang w:val="en-US" w:eastAsia="zh-CN" w:bidi="ar-SA"/>
        </w:rPr>
        <w:t>正广泛地与旅游、</w:t>
      </w:r>
      <w:r>
        <w:rPr>
          <w:rFonts w:hint="eastAsia" w:ascii="仿宋_GB2312" w:hAnsi="仿宋_GB2312" w:eastAsia="仿宋_GB2312" w:cs="仿宋_GB2312"/>
          <w:b w:val="0"/>
          <w:bCs w:val="0"/>
          <w:kern w:val="2"/>
          <w:sz w:val="32"/>
          <w:szCs w:val="32"/>
          <w:lang w:val="en-US" w:eastAsia="zh-Hans" w:bidi="ar-SA"/>
        </w:rPr>
        <w:t>会展</w:t>
      </w:r>
      <w:r>
        <w:rPr>
          <w:rFonts w:hint="default"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工业、</w:t>
      </w:r>
      <w:r>
        <w:rPr>
          <w:rFonts w:hint="default" w:ascii="仿宋_GB2312" w:hAnsi="仿宋_GB2312" w:eastAsia="仿宋_GB2312" w:cs="仿宋_GB2312"/>
          <w:b w:val="0"/>
          <w:bCs w:val="0"/>
          <w:kern w:val="2"/>
          <w:sz w:val="32"/>
          <w:szCs w:val="32"/>
          <w:lang w:val="en-US" w:eastAsia="zh-CN" w:bidi="ar-SA"/>
        </w:rPr>
        <w:t>商业</w:t>
      </w:r>
      <w:r>
        <w:rPr>
          <w:rFonts w:hint="eastAsia" w:ascii="仿宋_GB2312" w:hAnsi="仿宋_GB2312" w:eastAsia="仿宋_GB2312" w:cs="仿宋_GB2312"/>
          <w:b w:val="0"/>
          <w:bCs w:val="0"/>
          <w:kern w:val="2"/>
          <w:sz w:val="32"/>
          <w:szCs w:val="32"/>
          <w:lang w:val="en-US" w:eastAsia="zh-Hans" w:bidi="ar-SA"/>
        </w:rPr>
        <w:t>、体育、教育、乡村振兴</w:t>
      </w:r>
      <w:r>
        <w:rPr>
          <w:rFonts w:hint="default" w:ascii="仿宋_GB2312" w:hAnsi="仿宋_GB2312" w:eastAsia="仿宋_GB2312" w:cs="仿宋_GB2312"/>
          <w:b w:val="0"/>
          <w:bCs w:val="0"/>
          <w:kern w:val="2"/>
          <w:sz w:val="32"/>
          <w:szCs w:val="32"/>
          <w:lang w:val="en-US" w:eastAsia="zh-CN" w:bidi="ar-SA"/>
        </w:rPr>
        <w:t>等相关产业融合创新，衍生出旅游演艺、剧本</w:t>
      </w:r>
      <w:r>
        <w:rPr>
          <w:rFonts w:hint="eastAsia" w:ascii="仿宋_GB2312" w:hAnsi="仿宋_GB2312" w:eastAsia="仿宋_GB2312" w:cs="仿宋_GB2312"/>
          <w:b w:val="0"/>
          <w:bCs w:val="0"/>
          <w:kern w:val="2"/>
          <w:sz w:val="32"/>
          <w:szCs w:val="32"/>
          <w:lang w:val="en-US" w:eastAsia="zh-Hans" w:bidi="ar-SA"/>
        </w:rPr>
        <w:t>娱乐</w:t>
      </w:r>
      <w:r>
        <w:rPr>
          <w:rFonts w:hint="default" w:ascii="仿宋_GB2312" w:hAnsi="仿宋_GB2312" w:eastAsia="仿宋_GB2312" w:cs="仿宋_GB2312"/>
          <w:b w:val="0"/>
          <w:bCs w:val="0"/>
          <w:kern w:val="2"/>
          <w:sz w:val="32"/>
          <w:szCs w:val="32"/>
          <w:lang w:val="en-US" w:eastAsia="zh-CN" w:bidi="ar-SA"/>
        </w:rPr>
        <w:t>、数字化演出等一系列</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颠覆性创意、沉浸式体验、年轻化消费、交互式传播</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的“演艺+”新业态</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推动</w:t>
      </w:r>
      <w:r>
        <w:rPr>
          <w:rFonts w:hint="eastAsia" w:ascii="仿宋_GB2312" w:hAnsi="仿宋_GB2312" w:eastAsia="仿宋_GB2312" w:cs="仿宋_GB2312"/>
          <w:b w:val="0"/>
          <w:bCs w:val="0"/>
          <w:kern w:val="2"/>
          <w:sz w:val="32"/>
          <w:szCs w:val="32"/>
          <w:lang w:val="en-US" w:eastAsia="zh-Hans" w:bidi="ar-SA"/>
        </w:rPr>
        <w:t>了演艺</w:t>
      </w:r>
      <w:r>
        <w:rPr>
          <w:rFonts w:hint="default" w:ascii="仿宋_GB2312" w:hAnsi="仿宋_GB2312" w:eastAsia="仿宋_GB2312" w:cs="仿宋_GB2312"/>
          <w:b w:val="0"/>
          <w:bCs w:val="0"/>
          <w:kern w:val="2"/>
          <w:sz w:val="32"/>
          <w:szCs w:val="32"/>
          <w:lang w:val="en-US" w:eastAsia="zh-CN" w:bidi="ar-SA"/>
        </w:rPr>
        <w:t>产业转型升级</w:t>
      </w:r>
      <w:r>
        <w:rPr>
          <w:rFonts w:hint="eastAsia" w:ascii="仿宋_GB2312" w:hAnsi="仿宋_GB2312" w:eastAsia="仿宋_GB2312" w:cs="仿宋_GB2312"/>
          <w:b w:val="0"/>
          <w:bCs w:val="0"/>
          <w:kern w:val="2"/>
          <w:sz w:val="32"/>
          <w:szCs w:val="32"/>
          <w:lang w:val="en-US" w:eastAsia="zh-Hans" w:bidi="ar-SA"/>
        </w:rPr>
        <w:t>。下一步，将有更多传统单一型演出经纪机构开始向复合型、跨界型演出经纪机构转化。</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（二）</w:t>
      </w:r>
      <w:r>
        <w:rPr>
          <w:rFonts w:hint="eastAsia" w:ascii="方正仿宋_GB2312" w:hAnsi="方正仿宋_GB2312" w:eastAsia="方正仿宋_GB2312" w:cs="方正仿宋_GB2312"/>
          <w:b/>
          <w:bCs/>
          <w:color w:val="auto"/>
          <w:sz w:val="32"/>
          <w:szCs w:val="32"/>
          <w:lang w:val="en-US" w:eastAsia="zh-CN"/>
        </w:rPr>
        <w:t>经营</w:t>
      </w:r>
      <w:r>
        <w:rPr>
          <w:rFonts w:hint="eastAsia" w:ascii="方正仿宋_GB2312" w:hAnsi="方正仿宋_GB2312" w:eastAsia="方正仿宋_GB2312" w:cs="方正仿宋_GB2312"/>
          <w:b/>
          <w:bCs/>
          <w:color w:val="auto"/>
          <w:sz w:val="32"/>
          <w:szCs w:val="32"/>
          <w:lang w:val="en-US" w:eastAsia="zh-Hans"/>
        </w:rPr>
        <w:t>多种演出新业态、新场景</w:t>
      </w:r>
      <w:r>
        <w:rPr>
          <w:rFonts w:hint="eastAsia" w:ascii="方正仿宋_GB2312" w:hAnsi="方正仿宋_GB2312" w:eastAsia="方正仿宋_GB2312" w:cs="方正仿宋_GB2312"/>
          <w:b/>
          <w:bCs/>
          <w:color w:val="auto"/>
          <w:sz w:val="32"/>
          <w:szCs w:val="32"/>
          <w:lang w:val="en-US" w:eastAsia="zh-CN"/>
        </w:rPr>
        <w:t>的演出经济机构</w:t>
      </w:r>
      <w:r>
        <w:rPr>
          <w:rFonts w:hint="eastAsia" w:ascii="方正仿宋_GB2312" w:hAnsi="方正仿宋_GB2312" w:eastAsia="方正仿宋_GB2312" w:cs="方正仿宋_GB2312"/>
          <w:b/>
          <w:bCs/>
          <w:color w:val="auto"/>
          <w:sz w:val="32"/>
          <w:szCs w:val="32"/>
          <w:lang w:val="en-US" w:eastAsia="zh-Hans"/>
        </w:rPr>
        <w:t>将不断涌现</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default" w:ascii="仿宋_GB2312" w:hAnsi="仿宋_GB2312" w:eastAsia="仿宋_GB2312" w:cs="仿宋_GB2312"/>
          <w:b w:val="0"/>
          <w:bCs w:val="0"/>
          <w:kern w:val="2"/>
          <w:sz w:val="32"/>
          <w:szCs w:val="32"/>
          <w:lang w:val="en-US" w:eastAsia="zh-Hans" w:bidi="ar-SA"/>
        </w:rPr>
        <w:t>建设演艺新场景、</w:t>
      </w:r>
      <w:r>
        <w:rPr>
          <w:rFonts w:hint="eastAsia" w:ascii="仿宋_GB2312" w:hAnsi="仿宋_GB2312" w:eastAsia="仿宋_GB2312" w:cs="仿宋_GB2312"/>
          <w:b w:val="0"/>
          <w:bCs w:val="0"/>
          <w:kern w:val="2"/>
          <w:sz w:val="32"/>
          <w:szCs w:val="32"/>
          <w:lang w:val="en-US" w:eastAsia="zh-Hans" w:bidi="ar-SA"/>
        </w:rPr>
        <w:t>拓展</w:t>
      </w:r>
      <w:r>
        <w:rPr>
          <w:rFonts w:hint="default" w:ascii="仿宋_GB2312" w:hAnsi="仿宋_GB2312" w:eastAsia="仿宋_GB2312" w:cs="仿宋_GB2312"/>
          <w:b w:val="0"/>
          <w:bCs w:val="0"/>
          <w:kern w:val="2"/>
          <w:sz w:val="32"/>
          <w:szCs w:val="32"/>
          <w:lang w:val="en-US" w:eastAsia="zh-Hans" w:bidi="ar-SA"/>
        </w:rPr>
        <w:t>文旅新场域，成为防疫常态化之下的</w:t>
      </w:r>
      <w:r>
        <w:rPr>
          <w:rFonts w:hint="eastAsia" w:ascii="仿宋_GB2312" w:hAnsi="仿宋_GB2312" w:eastAsia="仿宋_GB2312" w:cs="仿宋_GB2312"/>
          <w:b w:val="0"/>
          <w:bCs w:val="0"/>
          <w:kern w:val="2"/>
          <w:sz w:val="32"/>
          <w:szCs w:val="32"/>
          <w:lang w:val="en-US" w:eastAsia="zh-Hans" w:bidi="ar-SA"/>
        </w:rPr>
        <w:t>演出经纪公司的新格局</w:t>
      </w:r>
      <w:r>
        <w:rPr>
          <w:rFonts w:hint="default"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Hans" w:bidi="ar-SA"/>
        </w:rPr>
        <w:t>成都、绵阳、泸州、南充等</w:t>
      </w:r>
      <w:r>
        <w:rPr>
          <w:rFonts w:hint="default" w:ascii="仿宋_GB2312" w:hAnsi="仿宋_GB2312" w:eastAsia="仿宋_GB2312" w:cs="仿宋_GB2312"/>
          <w:b w:val="0"/>
          <w:bCs w:val="0"/>
          <w:kern w:val="2"/>
          <w:sz w:val="32"/>
          <w:szCs w:val="32"/>
          <w:lang w:val="en-US" w:eastAsia="zh-CN" w:bidi="ar-SA"/>
        </w:rPr>
        <w:t>演出市场活跃城市</w:t>
      </w:r>
      <w:r>
        <w:rPr>
          <w:rFonts w:hint="eastAsia" w:ascii="仿宋_GB2312" w:hAnsi="仿宋_GB2312" w:eastAsia="仿宋_GB2312" w:cs="仿宋_GB2312"/>
          <w:b w:val="0"/>
          <w:bCs w:val="0"/>
          <w:kern w:val="2"/>
          <w:sz w:val="32"/>
          <w:szCs w:val="32"/>
          <w:lang w:val="en-US" w:eastAsia="zh-Hans" w:bidi="ar-SA"/>
        </w:rPr>
        <w:t>的演出经纪公司已开始</w:t>
      </w:r>
      <w:r>
        <w:rPr>
          <w:rFonts w:hint="default" w:ascii="仿宋_GB2312" w:hAnsi="仿宋_GB2312" w:eastAsia="仿宋_GB2312" w:cs="仿宋_GB2312"/>
          <w:b w:val="0"/>
          <w:bCs w:val="0"/>
          <w:kern w:val="2"/>
          <w:sz w:val="32"/>
          <w:szCs w:val="32"/>
          <w:lang w:val="en-US" w:eastAsia="zh-Hans" w:bidi="ar-SA"/>
        </w:rPr>
        <w:t>进行差异化探索，挖掘户外场景利用，</w:t>
      </w:r>
      <w:r>
        <w:rPr>
          <w:rFonts w:hint="default" w:ascii="仿宋_GB2312" w:hAnsi="仿宋_GB2312" w:eastAsia="仿宋_GB2312" w:cs="仿宋_GB2312"/>
          <w:b w:val="0"/>
          <w:bCs w:val="0"/>
          <w:kern w:val="2"/>
          <w:sz w:val="32"/>
          <w:szCs w:val="32"/>
          <w:lang w:val="en-US" w:eastAsia="zh-CN" w:bidi="ar-SA"/>
        </w:rPr>
        <w:t>开辟新型演艺空间</w:t>
      </w:r>
      <w:r>
        <w:rPr>
          <w:rFonts w:hint="eastAsia" w:ascii="仿宋_GB2312" w:hAnsi="仿宋_GB2312" w:eastAsia="仿宋_GB2312" w:cs="仿宋_GB2312"/>
          <w:b w:val="0"/>
          <w:bCs w:val="0"/>
          <w:kern w:val="2"/>
          <w:sz w:val="32"/>
          <w:szCs w:val="32"/>
          <w:lang w:val="en-US" w:eastAsia="zh-Hans" w:bidi="ar-SA"/>
        </w:rPr>
        <w:t>，</w:t>
      </w:r>
      <w:r>
        <w:rPr>
          <w:rFonts w:hint="default" w:ascii="仿宋_GB2312" w:hAnsi="仿宋_GB2312" w:eastAsia="仿宋_GB2312" w:cs="仿宋_GB2312"/>
          <w:b w:val="0"/>
          <w:bCs w:val="0"/>
          <w:kern w:val="2"/>
          <w:sz w:val="32"/>
          <w:szCs w:val="32"/>
          <w:lang w:val="en-US" w:eastAsia="zh-CN" w:bidi="ar-SA"/>
        </w:rPr>
        <w:t>这些新型演艺业态突破传统镜框式剧场演出的空间限制，</w:t>
      </w:r>
      <w:r>
        <w:rPr>
          <w:rFonts w:hint="eastAsia" w:ascii="仿宋_GB2312" w:hAnsi="仿宋_GB2312" w:eastAsia="仿宋_GB2312" w:cs="仿宋_GB2312"/>
          <w:b w:val="0"/>
          <w:bCs w:val="0"/>
          <w:kern w:val="2"/>
          <w:sz w:val="32"/>
          <w:szCs w:val="32"/>
          <w:lang w:val="en-US" w:eastAsia="zh-Hans" w:bidi="ar-SA"/>
        </w:rPr>
        <w:t>增强了</w:t>
      </w:r>
      <w:r>
        <w:rPr>
          <w:rFonts w:hint="default" w:ascii="仿宋_GB2312" w:hAnsi="仿宋_GB2312" w:eastAsia="仿宋_GB2312" w:cs="仿宋_GB2312"/>
          <w:b w:val="0"/>
          <w:bCs w:val="0"/>
          <w:kern w:val="2"/>
          <w:sz w:val="32"/>
          <w:szCs w:val="32"/>
          <w:lang w:val="en-US" w:eastAsia="zh-CN" w:bidi="ar-SA"/>
        </w:rPr>
        <w:t>现场演出体验的内涵</w:t>
      </w:r>
      <w:r>
        <w:rPr>
          <w:rFonts w:hint="eastAsia" w:ascii="仿宋_GB2312" w:hAnsi="仿宋_GB2312" w:eastAsia="仿宋_GB2312" w:cs="仿宋_GB2312"/>
          <w:b w:val="0"/>
          <w:bCs w:val="0"/>
          <w:kern w:val="2"/>
          <w:sz w:val="32"/>
          <w:szCs w:val="32"/>
          <w:lang w:val="en-US" w:eastAsia="zh-Hans" w:bidi="ar-SA"/>
        </w:rPr>
        <w:t>，为城市文化</w:t>
      </w:r>
      <w:r>
        <w:rPr>
          <w:rFonts w:hint="eastAsia" w:ascii="仿宋_GB2312" w:hAnsi="仿宋_GB2312" w:eastAsia="仿宋_GB2312" w:cs="仿宋_GB2312"/>
          <w:b w:val="0"/>
          <w:bCs w:val="0"/>
          <w:kern w:val="2"/>
          <w:sz w:val="32"/>
          <w:szCs w:val="32"/>
          <w:lang w:val="en-US" w:eastAsia="zh-CN" w:bidi="ar-SA"/>
        </w:rPr>
        <w:t>空间注入了新动能和活力</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（三）</w:t>
      </w:r>
      <w:r>
        <w:rPr>
          <w:rFonts w:hint="eastAsia" w:ascii="方正仿宋_GB2312" w:hAnsi="方正仿宋_GB2312" w:eastAsia="方正仿宋_GB2312" w:cs="方正仿宋_GB2312"/>
          <w:b/>
          <w:bCs/>
          <w:color w:val="auto"/>
          <w:sz w:val="32"/>
          <w:szCs w:val="32"/>
          <w:lang w:val="en-US" w:eastAsia="zh-CN"/>
        </w:rPr>
        <w:t>更多演出经济机构致力于</w:t>
      </w:r>
      <w:r>
        <w:rPr>
          <w:rFonts w:hint="eastAsia" w:ascii="方正仿宋_GB2312" w:hAnsi="方正仿宋_GB2312" w:eastAsia="方正仿宋_GB2312" w:cs="方正仿宋_GB2312"/>
          <w:b/>
          <w:bCs/>
          <w:color w:val="auto"/>
          <w:sz w:val="32"/>
          <w:szCs w:val="32"/>
          <w:lang w:val="en-US" w:eastAsia="zh-Hans"/>
        </w:rPr>
        <w:t>传统演艺行业不断向数字演艺化发展</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CN" w:bidi="ar-SA"/>
        </w:rPr>
        <w:t>面对科技的日新月异和互联网发展的深入推进，演艺行业未来的发展必然离不开数字科技的赋能。</w:t>
      </w:r>
      <w:r>
        <w:rPr>
          <w:rFonts w:hint="eastAsia" w:ascii="仿宋_GB2312" w:hAnsi="仿宋_GB2312" w:eastAsia="仿宋_GB2312" w:cs="仿宋_GB2312"/>
          <w:b w:val="0"/>
          <w:bCs w:val="0"/>
          <w:kern w:val="2"/>
          <w:sz w:val="32"/>
          <w:szCs w:val="32"/>
          <w:lang w:val="en-US" w:eastAsia="zh-Hans" w:bidi="ar-SA"/>
        </w:rPr>
        <w:t>目前，多个演出经纪机构已开始</w:t>
      </w:r>
      <w:r>
        <w:rPr>
          <w:rFonts w:hint="eastAsia" w:ascii="仿宋_GB2312" w:hAnsi="仿宋_GB2312" w:eastAsia="仿宋_GB2312" w:cs="仿宋_GB2312"/>
          <w:b w:val="0"/>
          <w:bCs w:val="0"/>
          <w:kern w:val="2"/>
          <w:sz w:val="32"/>
          <w:szCs w:val="32"/>
          <w:lang w:val="en-US" w:eastAsia="zh-CN" w:bidi="ar-SA"/>
        </w:rPr>
        <w:t>将演艺与科技融合变为一种实实在在的行动，</w:t>
      </w:r>
      <w:r>
        <w:rPr>
          <w:rFonts w:hint="eastAsia" w:ascii="仿宋_GB2312" w:hAnsi="仿宋_GB2312" w:eastAsia="仿宋_GB2312" w:cs="仿宋_GB2312"/>
          <w:b w:val="0"/>
          <w:bCs w:val="0"/>
          <w:kern w:val="2"/>
          <w:sz w:val="32"/>
          <w:szCs w:val="32"/>
          <w:lang w:val="en-US" w:eastAsia="zh-Hans" w:bidi="ar-SA"/>
        </w:rPr>
        <w:t>他们</w:t>
      </w:r>
      <w:r>
        <w:rPr>
          <w:rFonts w:hint="default" w:ascii="仿宋_GB2312" w:hAnsi="仿宋_GB2312" w:eastAsia="仿宋_GB2312" w:cs="仿宋_GB2312"/>
          <w:b w:val="0"/>
          <w:bCs w:val="0"/>
          <w:kern w:val="2"/>
          <w:sz w:val="32"/>
          <w:szCs w:val="32"/>
          <w:lang w:val="en-US" w:eastAsia="zh-Hans" w:bidi="ar-SA"/>
        </w:rPr>
        <w:t>打破传统</w:t>
      </w:r>
      <w:r>
        <w:rPr>
          <w:rFonts w:hint="eastAsia" w:ascii="仿宋_GB2312" w:hAnsi="仿宋_GB2312" w:eastAsia="仿宋_GB2312" w:cs="仿宋_GB2312"/>
          <w:b w:val="0"/>
          <w:bCs w:val="0"/>
          <w:kern w:val="2"/>
          <w:sz w:val="32"/>
          <w:szCs w:val="32"/>
          <w:lang w:val="en-US" w:eastAsia="zh-Hans" w:bidi="ar-SA"/>
        </w:rPr>
        <w:t>演出</w:t>
      </w:r>
      <w:r>
        <w:rPr>
          <w:rFonts w:hint="default" w:ascii="仿宋_GB2312" w:hAnsi="仿宋_GB2312" w:eastAsia="仿宋_GB2312" w:cs="仿宋_GB2312"/>
          <w:b w:val="0"/>
          <w:bCs w:val="0"/>
          <w:kern w:val="2"/>
          <w:sz w:val="32"/>
          <w:szCs w:val="32"/>
          <w:lang w:val="en-US" w:eastAsia="zh-Hans" w:bidi="ar-SA"/>
        </w:rPr>
        <w:t>行业格局、融通全网资源、携手科技企业，创造更多</w:t>
      </w:r>
      <w:r>
        <w:rPr>
          <w:rFonts w:hint="default" w:ascii="仿宋_GB2312" w:hAnsi="仿宋_GB2312" w:eastAsia="仿宋_GB2312" w:cs="仿宋_GB2312"/>
          <w:b w:val="0"/>
          <w:bCs w:val="0"/>
          <w:kern w:val="2"/>
          <w:sz w:val="32"/>
          <w:szCs w:val="32"/>
          <w:lang w:val="en-US" w:eastAsia="zh-CN" w:bidi="ar-SA"/>
        </w:rPr>
        <w:t>能实现社会效益和经济效益双效合一的</w:t>
      </w:r>
      <w:r>
        <w:rPr>
          <w:rFonts w:hint="eastAsia" w:ascii="仿宋_GB2312" w:hAnsi="仿宋_GB2312" w:eastAsia="仿宋_GB2312" w:cs="仿宋_GB2312"/>
          <w:b w:val="0"/>
          <w:bCs w:val="0"/>
          <w:kern w:val="2"/>
          <w:sz w:val="32"/>
          <w:szCs w:val="32"/>
          <w:lang w:val="en-US" w:eastAsia="zh-Hans" w:bidi="ar-SA"/>
        </w:rPr>
        <w:t>数字</w:t>
      </w:r>
      <w:r>
        <w:rPr>
          <w:rFonts w:hint="default" w:ascii="仿宋_GB2312" w:hAnsi="仿宋_GB2312" w:eastAsia="仿宋_GB2312" w:cs="仿宋_GB2312"/>
          <w:b w:val="0"/>
          <w:bCs w:val="0"/>
          <w:kern w:val="2"/>
          <w:sz w:val="32"/>
          <w:szCs w:val="32"/>
          <w:lang w:val="en-US" w:eastAsia="zh-CN" w:bidi="ar-SA"/>
        </w:rPr>
        <w:t>演艺产品</w:t>
      </w:r>
      <w:r>
        <w:rPr>
          <w:rFonts w:hint="eastAsia" w:ascii="仿宋_GB2312" w:hAnsi="仿宋_GB2312" w:eastAsia="仿宋_GB2312" w:cs="仿宋_GB2312"/>
          <w:b w:val="0"/>
          <w:bCs w:val="0"/>
          <w:kern w:val="2"/>
          <w:sz w:val="32"/>
          <w:szCs w:val="32"/>
          <w:lang w:val="en-US" w:eastAsia="zh-Hans" w:bidi="ar-SA"/>
        </w:rPr>
        <w:t>。一些规模型演出经纪机构还将数字技术运用于经营管理中，利用</w:t>
      </w:r>
      <w:r>
        <w:rPr>
          <w:rFonts w:hint="eastAsia" w:ascii="仿宋_GB2312" w:hAnsi="仿宋_GB2312" w:eastAsia="仿宋_GB2312" w:cs="仿宋_GB2312"/>
          <w:b w:val="0"/>
          <w:bCs w:val="0"/>
          <w:kern w:val="2"/>
          <w:sz w:val="32"/>
          <w:szCs w:val="32"/>
          <w:lang w:val="en-US" w:eastAsia="zh-CN" w:bidi="ar-SA"/>
        </w:rPr>
        <w:t>数字技术重塑</w:t>
      </w:r>
      <w:r>
        <w:rPr>
          <w:rFonts w:hint="eastAsia" w:ascii="仿宋_GB2312" w:hAnsi="仿宋_GB2312" w:eastAsia="仿宋_GB2312" w:cs="仿宋_GB2312"/>
          <w:b w:val="0"/>
          <w:bCs w:val="0"/>
          <w:kern w:val="2"/>
          <w:sz w:val="32"/>
          <w:szCs w:val="32"/>
          <w:lang w:val="en-US" w:eastAsia="zh-Hans" w:bidi="ar-SA"/>
        </w:rPr>
        <w:t>企业</w:t>
      </w:r>
      <w:r>
        <w:rPr>
          <w:rFonts w:hint="eastAsia" w:ascii="仿宋_GB2312" w:hAnsi="仿宋_GB2312" w:eastAsia="仿宋_GB2312" w:cs="仿宋_GB2312"/>
          <w:b w:val="0"/>
          <w:bCs w:val="0"/>
          <w:kern w:val="2"/>
          <w:sz w:val="32"/>
          <w:szCs w:val="32"/>
          <w:lang w:val="en-US" w:eastAsia="zh-CN" w:bidi="ar-SA"/>
        </w:rPr>
        <w:t>战略思维、业务流程、组织架构和商业模式</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left"/>
        <w:textAlignment w:val="auto"/>
        <w:rPr>
          <w:rFonts w:hint="default" w:ascii="仿宋" w:hAnsi="仿宋" w:eastAsia="黑体" w:cs="仿宋"/>
          <w:b w:val="0"/>
          <w:bCs w:val="0"/>
          <w:color w:val="auto"/>
          <w:sz w:val="32"/>
          <w:szCs w:val="32"/>
          <w:lang w:val="en-US" w:eastAsia="zh-CN"/>
        </w:rPr>
      </w:pPr>
      <w:r>
        <w:rPr>
          <w:rFonts w:hint="eastAsia" w:ascii="黑体" w:hAnsi="黑体" w:eastAsia="黑体" w:cs="黑体"/>
          <w:b w:val="0"/>
          <w:bCs w:val="0"/>
          <w:color w:val="auto"/>
          <w:sz w:val="32"/>
          <w:szCs w:val="32"/>
          <w:lang w:val="en-US" w:eastAsia="zh-Hans"/>
        </w:rPr>
        <w:t>五、四川省演出经纪机构发展的需求</w:t>
      </w:r>
      <w:r>
        <w:rPr>
          <w:rFonts w:hint="eastAsia" w:ascii="黑体" w:hAnsi="黑体" w:eastAsia="黑体" w:cs="黑体"/>
          <w:b w:val="0"/>
          <w:bCs w:val="0"/>
          <w:color w:val="auto"/>
          <w:sz w:val="32"/>
          <w:szCs w:val="32"/>
          <w:lang w:val="en-US" w:eastAsia="zh-CN"/>
        </w:rPr>
        <w:t>和建议</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（一）帮助企业纾困解难</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继续出台帮助文旅企业纾困解难的扶持政策。建议政府财政资金补贴除了对民营表演团体与旅游演艺企业给予一定资金扶持外，对演出经纪机构也能给予一定的解困资金扶持。</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CN" w:bidi="ar-SA"/>
        </w:rPr>
        <w:t>引导金融机构加大贷款力度</w:t>
      </w:r>
      <w:r>
        <w:rPr>
          <w:rFonts w:hint="eastAsia" w:ascii="仿宋_GB2312" w:hAnsi="仿宋_GB2312" w:eastAsia="仿宋_GB2312" w:cs="仿宋_GB2312"/>
          <w:b w:val="0"/>
          <w:bCs w:val="0"/>
          <w:kern w:val="2"/>
          <w:sz w:val="32"/>
          <w:szCs w:val="32"/>
          <w:lang w:val="en-US" w:eastAsia="zh-Hans" w:bidi="ar-SA"/>
        </w:rPr>
        <w:t>，</w:t>
      </w:r>
      <w:r>
        <w:rPr>
          <w:rFonts w:hint="eastAsia" w:ascii="仿宋_GB2312" w:hAnsi="仿宋_GB2312" w:eastAsia="仿宋_GB2312" w:cs="仿宋_GB2312"/>
          <w:b w:val="0"/>
          <w:bCs w:val="0"/>
          <w:kern w:val="2"/>
          <w:sz w:val="32"/>
          <w:szCs w:val="32"/>
          <w:lang w:val="en-US" w:eastAsia="zh-CN" w:bidi="ar-SA"/>
        </w:rPr>
        <w:t>深入实施财政金融互动政策，引导金融机构向中小微</w:t>
      </w:r>
      <w:r>
        <w:rPr>
          <w:rFonts w:hint="eastAsia" w:ascii="仿宋_GB2312" w:hAnsi="仿宋_GB2312" w:eastAsia="仿宋_GB2312" w:cs="仿宋_GB2312"/>
          <w:b w:val="0"/>
          <w:bCs w:val="0"/>
          <w:kern w:val="2"/>
          <w:sz w:val="32"/>
          <w:szCs w:val="32"/>
          <w:lang w:val="en-US" w:eastAsia="zh-Hans" w:bidi="ar-SA"/>
        </w:rPr>
        <w:t>演出经纪机构</w:t>
      </w:r>
      <w:r>
        <w:rPr>
          <w:rFonts w:hint="eastAsia" w:ascii="仿宋_GB2312" w:hAnsi="仿宋_GB2312" w:eastAsia="仿宋_GB2312" w:cs="仿宋_GB2312"/>
          <w:b w:val="0"/>
          <w:bCs w:val="0"/>
          <w:kern w:val="2"/>
          <w:sz w:val="32"/>
          <w:szCs w:val="32"/>
          <w:lang w:val="en-US" w:eastAsia="zh-CN" w:bidi="ar-SA"/>
        </w:rPr>
        <w:t>发放首贷、信用贷。</w:t>
      </w:r>
      <w:r>
        <w:rPr>
          <w:rFonts w:hint="eastAsia" w:ascii="仿宋_GB2312" w:hAnsi="仿宋_GB2312" w:eastAsia="仿宋_GB2312" w:cs="仿宋_GB2312"/>
          <w:b w:val="0"/>
          <w:bCs w:val="0"/>
          <w:kern w:val="2"/>
          <w:sz w:val="32"/>
          <w:szCs w:val="32"/>
          <w:lang w:val="en-US" w:eastAsia="zh-Hans" w:bidi="ar-SA"/>
        </w:rPr>
        <w:t>帮助实施转型升级与跨界融合的演出经纪机构，落实普惠贷款贴息政策，缓解融资困难。</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（二）营造良好发展环境</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各级文化市场执法监督部门，</w:t>
      </w:r>
      <w:r>
        <w:rPr>
          <w:rFonts w:hint="eastAsia" w:ascii="仿宋_GB2312" w:hAnsi="仿宋_GB2312" w:eastAsia="仿宋_GB2312" w:cs="仿宋_GB2312"/>
          <w:b w:val="0"/>
          <w:bCs w:val="0"/>
          <w:kern w:val="2"/>
          <w:sz w:val="32"/>
          <w:szCs w:val="32"/>
          <w:lang w:val="en-US" w:eastAsia="zh-CN" w:bidi="ar-SA"/>
        </w:rPr>
        <w:t>应</w:t>
      </w:r>
      <w:r>
        <w:rPr>
          <w:rFonts w:hint="eastAsia" w:ascii="仿宋_GB2312" w:hAnsi="仿宋_GB2312" w:eastAsia="仿宋_GB2312" w:cs="仿宋_GB2312"/>
          <w:b w:val="0"/>
          <w:bCs w:val="0"/>
          <w:kern w:val="2"/>
          <w:sz w:val="32"/>
          <w:szCs w:val="32"/>
          <w:lang w:val="en-US" w:eastAsia="zh-Hans" w:bidi="ar-SA"/>
        </w:rPr>
        <w:t>切实加强文化市场的有效监管，努力营造公平竞争的市场环境。</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建议各级文化主管部门加强与行政审批、卫生防疫、公安消防等部门的协调沟通，形成工作合理，进一步畅通审批渠道，</w:t>
      </w:r>
      <w:r>
        <w:rPr>
          <w:rFonts w:hint="eastAsia" w:ascii="仿宋_GB2312" w:hAnsi="仿宋_GB2312" w:eastAsia="仿宋_GB2312" w:cs="仿宋_GB2312"/>
          <w:b w:val="0"/>
          <w:bCs w:val="0"/>
          <w:kern w:val="2"/>
          <w:sz w:val="32"/>
          <w:szCs w:val="32"/>
          <w:lang w:val="en-US" w:eastAsia="zh-CN" w:bidi="ar-SA"/>
        </w:rPr>
        <w:t>简化审批手续</w:t>
      </w:r>
      <w:r>
        <w:rPr>
          <w:rFonts w:hint="eastAsia" w:ascii="仿宋_GB2312" w:hAnsi="仿宋_GB2312" w:eastAsia="仿宋_GB2312" w:cs="仿宋_GB2312"/>
          <w:b w:val="0"/>
          <w:bCs w:val="0"/>
          <w:kern w:val="2"/>
          <w:sz w:val="32"/>
          <w:szCs w:val="32"/>
          <w:lang w:val="en-US" w:eastAsia="zh-Hans" w:bidi="ar-SA"/>
        </w:rPr>
        <w:t>，缩短演出项目审批、备案时间，为演出经纪机构提供更加便捷高效的服务。</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建议行业协会制定完善</w:t>
      </w:r>
      <w:r>
        <w:rPr>
          <w:rFonts w:hint="eastAsia" w:ascii="仿宋_GB2312" w:hAnsi="仿宋_GB2312" w:eastAsia="仿宋_GB2312" w:cs="仿宋_GB2312"/>
          <w:b w:val="0"/>
          <w:bCs w:val="0"/>
          <w:kern w:val="2"/>
          <w:sz w:val="32"/>
          <w:szCs w:val="32"/>
          <w:lang w:val="en-US" w:eastAsia="zh-CN" w:bidi="ar-SA"/>
        </w:rPr>
        <w:t>行业规范，促进行业</w:t>
      </w:r>
      <w:r>
        <w:rPr>
          <w:rFonts w:hint="eastAsia" w:ascii="仿宋_GB2312" w:hAnsi="仿宋_GB2312" w:eastAsia="仿宋_GB2312" w:cs="仿宋_GB2312"/>
          <w:b w:val="0"/>
          <w:bCs w:val="0"/>
          <w:kern w:val="2"/>
          <w:sz w:val="32"/>
          <w:szCs w:val="32"/>
          <w:lang w:val="en-US" w:eastAsia="zh-Hans" w:bidi="ar-SA"/>
        </w:rPr>
        <w:t>诚信</w:t>
      </w:r>
      <w:r>
        <w:rPr>
          <w:rFonts w:hint="eastAsia" w:ascii="仿宋_GB2312" w:hAnsi="仿宋_GB2312" w:eastAsia="仿宋_GB2312" w:cs="仿宋_GB2312"/>
          <w:b w:val="0"/>
          <w:bCs w:val="0"/>
          <w:kern w:val="2"/>
          <w:sz w:val="32"/>
          <w:szCs w:val="32"/>
          <w:lang w:val="en-US" w:eastAsia="zh-CN" w:bidi="ar-SA"/>
        </w:rPr>
        <w:t>自律，</w:t>
      </w:r>
      <w:r>
        <w:rPr>
          <w:rFonts w:hint="eastAsia" w:ascii="仿宋_GB2312" w:hAnsi="仿宋_GB2312" w:eastAsia="仿宋_GB2312" w:cs="仿宋_GB2312"/>
          <w:b w:val="0"/>
          <w:bCs w:val="0"/>
          <w:kern w:val="2"/>
          <w:sz w:val="32"/>
          <w:szCs w:val="32"/>
          <w:lang w:val="en-US" w:eastAsia="zh-Hans" w:bidi="ar-SA"/>
        </w:rPr>
        <w:t>通过建立健全行业</w:t>
      </w:r>
      <w:r>
        <w:rPr>
          <w:rFonts w:hint="default" w:ascii="仿宋_GB2312" w:hAnsi="仿宋_GB2312" w:eastAsia="仿宋_GB2312" w:cs="仿宋_GB2312"/>
          <w:b w:val="0"/>
          <w:bCs w:val="0"/>
          <w:kern w:val="2"/>
          <w:sz w:val="32"/>
          <w:szCs w:val="32"/>
          <w:lang w:val="en-US" w:eastAsia="zh-CN" w:bidi="ar-SA"/>
        </w:rPr>
        <w:t>内部</w:t>
      </w:r>
      <w:r>
        <w:rPr>
          <w:rFonts w:hint="eastAsia" w:ascii="仿宋_GB2312" w:hAnsi="仿宋_GB2312" w:eastAsia="仿宋_GB2312" w:cs="仿宋_GB2312"/>
          <w:b w:val="0"/>
          <w:bCs w:val="0"/>
          <w:kern w:val="2"/>
          <w:sz w:val="32"/>
          <w:szCs w:val="32"/>
          <w:lang w:val="en-US" w:eastAsia="zh-Hans" w:bidi="ar-SA"/>
        </w:rPr>
        <w:t>协商</w:t>
      </w:r>
      <w:r>
        <w:rPr>
          <w:rFonts w:hint="default" w:ascii="仿宋_GB2312" w:hAnsi="仿宋_GB2312" w:eastAsia="仿宋_GB2312" w:cs="仿宋_GB2312"/>
          <w:b w:val="0"/>
          <w:bCs w:val="0"/>
          <w:kern w:val="2"/>
          <w:sz w:val="32"/>
          <w:szCs w:val="32"/>
          <w:lang w:val="en-US" w:eastAsia="zh-CN" w:bidi="ar-SA"/>
        </w:rPr>
        <w:t>解决机制</w:t>
      </w:r>
      <w:r>
        <w:rPr>
          <w:rFonts w:hint="eastAsia" w:ascii="仿宋_GB2312" w:hAnsi="仿宋_GB2312" w:eastAsia="仿宋_GB2312" w:cs="仿宋_GB2312"/>
          <w:b w:val="0"/>
          <w:bCs w:val="0"/>
          <w:kern w:val="2"/>
          <w:sz w:val="32"/>
          <w:szCs w:val="32"/>
          <w:lang w:val="en-US" w:eastAsia="zh-Hans" w:bidi="ar-SA"/>
        </w:rPr>
        <w:t>，有效防范和及时</w:t>
      </w:r>
      <w:r>
        <w:rPr>
          <w:rFonts w:hint="default" w:ascii="仿宋_GB2312" w:hAnsi="仿宋_GB2312" w:eastAsia="仿宋_GB2312" w:cs="仿宋_GB2312"/>
          <w:b w:val="0"/>
          <w:bCs w:val="0"/>
          <w:kern w:val="2"/>
          <w:sz w:val="32"/>
          <w:szCs w:val="32"/>
          <w:lang w:val="en-US" w:eastAsia="zh-CN" w:bidi="ar-SA"/>
        </w:rPr>
        <w:t>化解</w:t>
      </w:r>
      <w:r>
        <w:rPr>
          <w:rFonts w:hint="eastAsia" w:ascii="仿宋_GB2312" w:hAnsi="仿宋_GB2312" w:eastAsia="仿宋_GB2312" w:cs="仿宋_GB2312"/>
          <w:b w:val="0"/>
          <w:bCs w:val="0"/>
          <w:kern w:val="2"/>
          <w:sz w:val="32"/>
          <w:szCs w:val="32"/>
          <w:lang w:val="en-US" w:eastAsia="zh-Hans" w:bidi="ar-SA"/>
        </w:rPr>
        <w:t>演出经纪机构间的</w:t>
      </w:r>
      <w:r>
        <w:rPr>
          <w:rFonts w:hint="default" w:ascii="仿宋_GB2312" w:hAnsi="仿宋_GB2312" w:eastAsia="仿宋_GB2312" w:cs="仿宋_GB2312"/>
          <w:b w:val="0"/>
          <w:bCs w:val="0"/>
          <w:kern w:val="2"/>
          <w:sz w:val="32"/>
          <w:szCs w:val="32"/>
          <w:lang w:val="en-US" w:eastAsia="zh-CN" w:bidi="ar-SA"/>
        </w:rPr>
        <w:t>矛盾纠纷</w:t>
      </w:r>
      <w:r>
        <w:rPr>
          <w:rFonts w:hint="eastAsia" w:ascii="仿宋_GB2312" w:hAnsi="仿宋_GB2312" w:eastAsia="仿宋_GB2312" w:cs="仿宋_GB2312"/>
          <w:b w:val="0"/>
          <w:bCs w:val="0"/>
          <w:kern w:val="2"/>
          <w:sz w:val="32"/>
          <w:szCs w:val="32"/>
          <w:lang w:val="en-US" w:eastAsia="zh-Hans" w:bidi="ar-SA"/>
        </w:rPr>
        <w:t>。抓好“守信激励，失信惩戒”工作，努力营造风清气正的市场环境。</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（三）搭建交流合作平台</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通过举办文化和旅游市场融合发展推进活动、文旅产业博览会与交易会、组织演出经纪机构参加全国、各省及省内各市州举办的推介会、展销会等“请进来、走出去”的方式，为演出经纪机构开展对外交流合作</w:t>
      </w:r>
      <w:r>
        <w:rPr>
          <w:rFonts w:hint="eastAsia" w:ascii="仿宋_GB2312" w:hAnsi="仿宋_GB2312" w:eastAsia="仿宋_GB2312" w:cs="仿宋_GB2312"/>
          <w:b w:val="0"/>
          <w:bCs w:val="0"/>
          <w:kern w:val="2"/>
          <w:sz w:val="32"/>
          <w:szCs w:val="32"/>
          <w:lang w:val="en-US" w:eastAsia="zh-CN" w:bidi="ar-SA"/>
        </w:rPr>
        <w:t>搭建平台、创造机会</w:t>
      </w:r>
      <w:r>
        <w:rPr>
          <w:rFonts w:hint="eastAsia" w:ascii="仿宋_GB2312" w:hAnsi="仿宋_GB2312" w:eastAsia="仿宋_GB2312" w:cs="仿宋_GB2312"/>
          <w:b w:val="0"/>
          <w:bCs w:val="0"/>
          <w:kern w:val="2"/>
          <w:sz w:val="32"/>
          <w:szCs w:val="32"/>
          <w:lang w:val="en-US" w:eastAsia="zh-Hans" w:bidi="ar-SA"/>
        </w:rPr>
        <w:t>。</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Times New Roman" w:hAnsi="Times New Roman" w:eastAsia="仿宋_GB2312"/>
          <w:color w:val="auto"/>
          <w:sz w:val="30"/>
          <w:szCs w:val="30"/>
          <w:lang w:val="en-US" w:eastAsia="zh-Hans"/>
        </w:rPr>
      </w:pPr>
      <w:r>
        <w:rPr>
          <w:rFonts w:hint="eastAsia" w:ascii="仿宋_GB2312" w:hAnsi="仿宋_GB2312" w:eastAsia="仿宋_GB2312" w:cs="仿宋_GB2312"/>
          <w:b w:val="0"/>
          <w:bCs w:val="0"/>
          <w:kern w:val="2"/>
          <w:sz w:val="32"/>
          <w:szCs w:val="32"/>
          <w:lang w:val="en-US" w:eastAsia="zh-Hans" w:bidi="ar-SA"/>
        </w:rPr>
        <w:t>打造品牌活动，为演艺企业发展创造良机。除中心城市成都外，省内的二、三线城市也应通过创立品牌演出活动与赛事，为</w:t>
      </w:r>
      <w:r>
        <w:rPr>
          <w:rFonts w:hint="eastAsia" w:ascii="Times New Roman" w:hAnsi="Times New Roman" w:eastAsia="仿宋_GB2312"/>
          <w:color w:val="auto"/>
          <w:sz w:val="30"/>
          <w:szCs w:val="30"/>
          <w:lang w:val="en-US" w:eastAsia="zh-Hans"/>
        </w:rPr>
        <w:t>演出经纪公司不断推出更多更好的“双效合一”的演</w:t>
      </w:r>
      <w:r>
        <w:rPr>
          <w:rFonts w:hint="eastAsia" w:ascii="仿宋_GB2312" w:hAnsi="仿宋_GB2312" w:eastAsia="仿宋_GB2312" w:cs="仿宋_GB2312"/>
          <w:b w:val="0"/>
          <w:bCs w:val="0"/>
          <w:kern w:val="2"/>
          <w:sz w:val="32"/>
          <w:szCs w:val="32"/>
          <w:lang w:val="en-US" w:eastAsia="zh-Hans" w:bidi="ar-SA"/>
        </w:rPr>
        <w:t>艺产品创造条件。</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643" w:firstLineChars="200"/>
        <w:jc w:val="left"/>
        <w:textAlignment w:val="auto"/>
        <w:outlineLvl w:val="9"/>
        <w:rPr>
          <w:rFonts w:hint="eastAsia" w:ascii="方正仿宋_GB2312" w:hAnsi="方正仿宋_GB2312" w:eastAsia="方正仿宋_GB2312" w:cs="方正仿宋_GB2312"/>
          <w:b/>
          <w:bCs/>
          <w:color w:val="auto"/>
          <w:sz w:val="32"/>
          <w:szCs w:val="32"/>
          <w:lang w:val="en-US" w:eastAsia="zh-Hans"/>
        </w:rPr>
      </w:pPr>
      <w:r>
        <w:rPr>
          <w:rFonts w:hint="eastAsia" w:ascii="方正仿宋_GB2312" w:hAnsi="方正仿宋_GB2312" w:eastAsia="方正仿宋_GB2312" w:cs="方正仿宋_GB2312"/>
          <w:b/>
          <w:bCs/>
          <w:color w:val="auto"/>
          <w:sz w:val="32"/>
          <w:szCs w:val="32"/>
          <w:lang w:val="en-US" w:eastAsia="zh-Hans"/>
        </w:rPr>
        <w:t>（四）促进队伍素质提升</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继续搞好演出经纪机构从业人员的素质提升培训。除开展常规的市场监督管理培训外，还应</w:t>
      </w:r>
      <w:r>
        <w:rPr>
          <w:rFonts w:hint="eastAsia" w:ascii="仿宋_GB2312" w:hAnsi="仿宋_GB2312" w:eastAsia="仿宋_GB2312" w:cs="仿宋_GB2312"/>
          <w:b w:val="0"/>
          <w:bCs w:val="0"/>
          <w:kern w:val="2"/>
          <w:sz w:val="32"/>
          <w:szCs w:val="32"/>
          <w:lang w:val="en" w:eastAsia="zh-Hans" w:bidi="ar-SA"/>
        </w:rPr>
        <w:t>依托高校、科研机构</w:t>
      </w:r>
      <w:r>
        <w:rPr>
          <w:rFonts w:hint="eastAsia" w:ascii="仿宋_GB2312" w:hAnsi="仿宋_GB2312" w:eastAsia="仿宋_GB2312" w:cs="仿宋_GB2312"/>
          <w:b w:val="0"/>
          <w:bCs w:val="0"/>
          <w:kern w:val="2"/>
          <w:sz w:val="32"/>
          <w:szCs w:val="32"/>
          <w:lang w:val="en" w:eastAsia="zh-CN" w:bidi="ar-SA"/>
        </w:rPr>
        <w:t>、</w:t>
      </w:r>
      <w:r>
        <w:rPr>
          <w:rFonts w:hint="eastAsia" w:ascii="仿宋_GB2312" w:hAnsi="仿宋_GB2312" w:eastAsia="仿宋_GB2312" w:cs="仿宋_GB2312"/>
          <w:b w:val="0"/>
          <w:bCs w:val="0"/>
          <w:kern w:val="2"/>
          <w:sz w:val="32"/>
          <w:szCs w:val="32"/>
          <w:lang w:val="en-US" w:eastAsia="zh-CN" w:bidi="ar-SA"/>
        </w:rPr>
        <w:t>企事业</w:t>
      </w:r>
      <w:r>
        <w:rPr>
          <w:rFonts w:hint="eastAsia" w:ascii="仿宋_GB2312" w:hAnsi="仿宋_GB2312" w:eastAsia="仿宋_GB2312" w:cs="仿宋_GB2312"/>
          <w:b w:val="0"/>
          <w:bCs w:val="0"/>
          <w:kern w:val="2"/>
          <w:sz w:val="32"/>
          <w:szCs w:val="32"/>
          <w:lang w:val="en-US" w:eastAsia="zh-Hans" w:bidi="ar-SA"/>
        </w:rPr>
        <w:t>的</w:t>
      </w:r>
      <w:r>
        <w:rPr>
          <w:rFonts w:hint="eastAsia" w:ascii="仿宋_GB2312" w:hAnsi="仿宋_GB2312" w:eastAsia="仿宋_GB2312" w:cs="仿宋_GB2312"/>
          <w:b w:val="0"/>
          <w:bCs w:val="0"/>
          <w:kern w:val="2"/>
          <w:sz w:val="32"/>
          <w:szCs w:val="32"/>
          <w:lang w:val="en-US" w:eastAsia="zh-CN" w:bidi="ar-SA"/>
        </w:rPr>
        <w:t>高端</w:t>
      </w:r>
      <w:r>
        <w:rPr>
          <w:rFonts w:hint="eastAsia" w:ascii="仿宋_GB2312" w:hAnsi="仿宋_GB2312" w:eastAsia="仿宋_GB2312" w:cs="仿宋_GB2312"/>
          <w:b w:val="0"/>
          <w:bCs w:val="0"/>
          <w:kern w:val="2"/>
          <w:sz w:val="32"/>
          <w:szCs w:val="32"/>
          <w:lang w:val="en" w:eastAsia="zh-Hans" w:bidi="ar-SA"/>
        </w:rPr>
        <w:t>专业智库，</w:t>
      </w:r>
      <w:r>
        <w:rPr>
          <w:rFonts w:hint="eastAsia" w:ascii="仿宋_GB2312" w:hAnsi="仿宋_GB2312" w:eastAsia="仿宋_GB2312" w:cs="仿宋_GB2312"/>
          <w:b w:val="0"/>
          <w:bCs w:val="0"/>
          <w:kern w:val="2"/>
          <w:sz w:val="32"/>
          <w:szCs w:val="32"/>
          <w:lang w:val="en-US" w:eastAsia="zh-Hans" w:bidi="ar-SA"/>
        </w:rPr>
        <w:t>对演出经纪机构团队开展经营管理、剧目制作、技术保障、市场营销、项目投资、合同谈判、品牌宣传、数字技术应用等方面的专题培训。</w:t>
      </w:r>
    </w:p>
    <w:p>
      <w:pPr>
        <w:keepNext w:val="0"/>
        <w:keepLines w:val="0"/>
        <w:pageBreakBefore w:val="0"/>
        <w:kinsoku/>
        <w:wordWrap/>
        <w:overflowPunct/>
        <w:topLinePunct w:val="0"/>
        <w:autoSpaceDE/>
        <w:autoSpaceDN/>
        <w:bidi w:val="0"/>
        <w:adjustRightInd/>
        <w:snapToGrid/>
        <w:spacing w:line="62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Hans" w:bidi="ar-SA"/>
        </w:rPr>
      </w:pPr>
      <w:r>
        <w:rPr>
          <w:rFonts w:hint="eastAsia" w:ascii="仿宋_GB2312" w:hAnsi="仿宋_GB2312" w:eastAsia="仿宋_GB2312" w:cs="仿宋_GB2312"/>
          <w:b w:val="0"/>
          <w:bCs w:val="0"/>
          <w:kern w:val="2"/>
          <w:sz w:val="32"/>
          <w:szCs w:val="32"/>
          <w:lang w:val="en-US" w:eastAsia="zh-Hans" w:bidi="ar-SA"/>
        </w:rPr>
        <w:t>在</w:t>
      </w:r>
      <w:r>
        <w:rPr>
          <w:rFonts w:hint="eastAsia" w:ascii="仿宋_GB2312" w:hAnsi="仿宋_GB2312" w:eastAsia="仿宋_GB2312" w:cs="仿宋_GB2312"/>
          <w:b w:val="0"/>
          <w:bCs w:val="0"/>
          <w:kern w:val="2"/>
          <w:sz w:val="32"/>
          <w:szCs w:val="32"/>
          <w:lang w:val="en" w:eastAsia="zh-Hans" w:bidi="ar-SA"/>
        </w:rPr>
        <w:t>人才评价</w:t>
      </w:r>
      <w:r>
        <w:rPr>
          <w:rFonts w:hint="eastAsia" w:ascii="仿宋_GB2312" w:hAnsi="仿宋_GB2312" w:eastAsia="仿宋_GB2312" w:cs="仿宋_GB2312"/>
          <w:b w:val="0"/>
          <w:bCs w:val="0"/>
          <w:kern w:val="2"/>
          <w:sz w:val="32"/>
          <w:szCs w:val="32"/>
          <w:lang w:val="en" w:eastAsia="zh-CN" w:bidi="ar-SA"/>
        </w:rPr>
        <w:t>体系</w:t>
      </w:r>
      <w:r>
        <w:rPr>
          <w:rFonts w:hint="eastAsia" w:ascii="仿宋_GB2312" w:hAnsi="仿宋_GB2312" w:eastAsia="仿宋_GB2312" w:cs="仿宋_GB2312"/>
          <w:b w:val="0"/>
          <w:bCs w:val="0"/>
          <w:kern w:val="2"/>
          <w:sz w:val="32"/>
          <w:szCs w:val="32"/>
          <w:lang w:val="en-US" w:eastAsia="zh-Hans" w:bidi="ar-SA"/>
        </w:rPr>
        <w:t>建设方面，希望行业主管部门能建立演出经纪岗位能力评价体系，帮助演出经纪机构，尤其是民营演出经纪机构的从业人员解决职称评定问题。</w:t>
      </w: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p>
    <w:p>
      <w:pPr>
        <w:jc w:val="center"/>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第四章</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color w:val="auto"/>
          <w:sz w:val="44"/>
          <w:szCs w:val="44"/>
        </w:rPr>
        <w:t>四川省演出票务公司状况分析</w:t>
      </w:r>
    </w:p>
    <w:p>
      <w:pPr>
        <w:rPr>
          <w:rFonts w:hint="eastAsia" w:ascii="仿宋_GB2312" w:hAnsi="仿宋_GB2312" w:eastAsia="仿宋_GB2312" w:cs="仿宋_GB2312"/>
          <w:b w:val="0"/>
          <w:bCs w:val="0"/>
          <w:i w:val="0"/>
          <w:iCs w:val="0"/>
          <w:color w:val="auto"/>
          <w:sz w:val="32"/>
          <w:szCs w:val="32"/>
          <w:lang w:val="en-US" w:eastAsia="zh-CN"/>
        </w:rPr>
      </w:pPr>
    </w:p>
    <w:p>
      <w:pPr>
        <w:ind w:firstLine="640" w:firstLineChars="200"/>
        <w:rPr>
          <w:rFonts w:hint="default" w:ascii="黑体" w:hAnsi="黑体" w:eastAsia="黑体" w:cs="黑体"/>
          <w:b w:val="0"/>
          <w:bCs w:val="0"/>
          <w:i w:val="0"/>
          <w:iCs w:val="0"/>
          <w:color w:val="auto"/>
          <w:sz w:val="32"/>
          <w:szCs w:val="32"/>
          <w:lang w:val="en-US" w:eastAsia="zh-CN"/>
        </w:rPr>
      </w:pPr>
      <w:r>
        <w:rPr>
          <w:rFonts w:hint="eastAsia" w:ascii="黑体" w:hAnsi="黑体" w:eastAsia="黑体" w:cs="黑体"/>
          <w:b w:val="0"/>
          <w:bCs w:val="0"/>
          <w:i w:val="0"/>
          <w:iCs w:val="0"/>
          <w:color w:val="auto"/>
          <w:sz w:val="32"/>
          <w:szCs w:val="32"/>
          <w:lang w:val="en-US" w:eastAsia="zh-CN"/>
        </w:rPr>
        <w:t>一、四川省演出票务公司基本情况</w:t>
      </w:r>
    </w:p>
    <w:p>
      <w:pPr>
        <w:numPr>
          <w:ilvl w:val="0"/>
          <w:numId w:val="0"/>
        </w:numPr>
        <w:ind w:firstLine="640" w:firstLineChars="200"/>
        <w:jc w:val="both"/>
        <w:rPr>
          <w:rFonts w:hint="eastAsia" w:ascii="仿宋_GB2312" w:hAnsi="仿宋_GB2312" w:eastAsia="仿宋_GB2312" w:cs="仿宋_GB2312"/>
          <w:b w:val="0"/>
          <w:bCs w:val="0"/>
          <w:i w:val="0"/>
          <w:iCs w:val="0"/>
          <w:color w:val="auto"/>
          <w:sz w:val="32"/>
          <w:szCs w:val="32"/>
          <w:lang w:val="en-US" w:eastAsia="zh-Hans"/>
        </w:rPr>
      </w:pPr>
      <w:r>
        <w:rPr>
          <w:rFonts w:hint="eastAsia" w:ascii="仿宋_GB2312" w:hAnsi="仿宋_GB2312" w:eastAsia="仿宋_GB2312" w:cs="仿宋_GB2312"/>
          <w:b w:val="0"/>
          <w:bCs w:val="0"/>
          <w:i w:val="0"/>
          <w:iCs w:val="0"/>
          <w:color w:val="auto"/>
          <w:sz w:val="32"/>
          <w:szCs w:val="32"/>
          <w:lang w:val="en-US" w:eastAsia="zh-CN"/>
        </w:rPr>
        <w:t>根据《中国演出市场年度报告2021》数据显示，</w:t>
      </w:r>
      <w:r>
        <w:rPr>
          <w:rFonts w:hint="eastAsia" w:ascii="仿宋_GB2312" w:hAnsi="仿宋_GB2312" w:eastAsia="仿宋_GB2312" w:cs="仿宋_GB2312"/>
          <w:b w:val="0"/>
          <w:bCs w:val="0"/>
          <w:i w:val="0"/>
          <w:iCs w:val="0"/>
          <w:color w:val="auto"/>
          <w:sz w:val="32"/>
          <w:szCs w:val="32"/>
          <w:lang w:val="en-US" w:eastAsia="zh-Hans"/>
        </w:rPr>
        <w:t>2021年全国演出场次</w:t>
      </w:r>
      <w:r>
        <w:rPr>
          <w:rFonts w:hint="eastAsia" w:ascii="仿宋_GB2312" w:hAnsi="仿宋_GB2312" w:eastAsia="仿宋_GB2312" w:cs="仿宋_GB2312"/>
          <w:b w:val="0"/>
          <w:bCs w:val="0"/>
          <w:i w:val="0"/>
          <w:iCs w:val="0"/>
          <w:color w:val="auto"/>
          <w:sz w:val="32"/>
          <w:szCs w:val="32"/>
          <w:lang w:val="en-US" w:eastAsia="zh-CN"/>
        </w:rPr>
        <w:t>共计</w:t>
      </w:r>
      <w:r>
        <w:rPr>
          <w:rFonts w:hint="eastAsia" w:ascii="仿宋_GB2312" w:hAnsi="仿宋_GB2312" w:eastAsia="仿宋_GB2312" w:cs="仿宋_GB2312"/>
          <w:b w:val="0"/>
          <w:bCs w:val="0"/>
          <w:i w:val="0"/>
          <w:iCs w:val="0"/>
          <w:color w:val="auto"/>
          <w:sz w:val="32"/>
          <w:szCs w:val="32"/>
          <w:lang w:val="en-US" w:eastAsia="zh-Hans"/>
        </w:rPr>
        <w:t>1</w:t>
      </w:r>
      <w:r>
        <w:rPr>
          <w:rFonts w:hint="eastAsia" w:ascii="仿宋_GB2312" w:hAnsi="仿宋_GB2312" w:eastAsia="仿宋_GB2312" w:cs="仿宋_GB2312"/>
          <w:b w:val="0"/>
          <w:bCs w:val="0"/>
          <w:kern w:val="2"/>
          <w:sz w:val="32"/>
          <w:szCs w:val="32"/>
          <w:lang w:val="en-US" w:eastAsia="zh-Hans" w:bidi="ar-SA"/>
        </w:rPr>
        <w:t>8.97万场</w:t>
      </w:r>
      <w:r>
        <w:rPr>
          <w:rFonts w:hint="eastAsia"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Hans" w:bidi="ar-SA"/>
        </w:rPr>
        <w:t>其中专业剧场</w:t>
      </w:r>
      <w:r>
        <w:rPr>
          <w:rFonts w:hint="eastAsia" w:ascii="仿宋_GB2312" w:hAnsi="仿宋_GB2312" w:eastAsia="仿宋_GB2312" w:cs="仿宋_GB2312"/>
          <w:b w:val="0"/>
          <w:bCs w:val="0"/>
          <w:kern w:val="2"/>
          <w:sz w:val="32"/>
          <w:szCs w:val="32"/>
          <w:lang w:val="en-US" w:eastAsia="zh-CN" w:bidi="ar-SA"/>
        </w:rPr>
        <w:t>（含小剧场、演艺新空间）</w:t>
      </w:r>
      <w:r>
        <w:rPr>
          <w:rFonts w:hint="eastAsia" w:ascii="仿宋_GB2312" w:hAnsi="仿宋_GB2312" w:eastAsia="仿宋_GB2312" w:cs="仿宋_GB2312"/>
          <w:b w:val="0"/>
          <w:bCs w:val="0"/>
          <w:kern w:val="2"/>
          <w:sz w:val="32"/>
          <w:szCs w:val="32"/>
          <w:lang w:val="en-US" w:eastAsia="zh-Hans" w:bidi="ar-SA"/>
        </w:rPr>
        <w:t>演出11.44万，</w:t>
      </w:r>
      <w:r>
        <w:rPr>
          <w:rFonts w:hint="eastAsia" w:ascii="仿宋_GB2312" w:hAnsi="仿宋_GB2312" w:eastAsia="仿宋_GB2312" w:cs="仿宋_GB2312"/>
          <w:b w:val="0"/>
          <w:bCs w:val="0"/>
          <w:kern w:val="2"/>
          <w:sz w:val="32"/>
          <w:szCs w:val="32"/>
          <w:lang w:val="en-US" w:eastAsia="zh-CN" w:bidi="ar-SA"/>
        </w:rPr>
        <w:t>大型演唱会、</w:t>
      </w:r>
      <w:r>
        <w:rPr>
          <w:rFonts w:hint="eastAsia" w:ascii="仿宋_GB2312" w:hAnsi="仿宋_GB2312" w:eastAsia="仿宋_GB2312" w:cs="仿宋_GB2312"/>
          <w:b w:val="0"/>
          <w:bCs w:val="0"/>
          <w:i w:val="0"/>
          <w:iCs w:val="0"/>
          <w:color w:val="auto"/>
          <w:sz w:val="32"/>
          <w:szCs w:val="32"/>
          <w:lang w:val="en-US" w:eastAsia="zh-CN"/>
        </w:rPr>
        <w:t>音乐节演出0.05 万场</w:t>
      </w:r>
      <w:r>
        <w:rPr>
          <w:rFonts w:hint="eastAsia" w:ascii="仿宋_GB2312" w:hAnsi="仿宋_GB2312" w:eastAsia="仿宋_GB2312" w:cs="仿宋_GB2312"/>
          <w:b w:val="0"/>
          <w:bCs w:val="0"/>
          <w:i w:val="0"/>
          <w:iCs w:val="0"/>
          <w:color w:val="auto"/>
          <w:sz w:val="32"/>
          <w:szCs w:val="32"/>
          <w:lang w:val="en-US" w:eastAsia="zh-Hans"/>
        </w:rPr>
        <w:t>；旅游演艺7.48万场</w:t>
      </w:r>
      <w:r>
        <w:rPr>
          <w:rFonts w:hint="eastAsia" w:ascii="仿宋_GB2312" w:hAnsi="仿宋_GB2312" w:eastAsia="仿宋_GB2312" w:cs="仿宋_GB2312"/>
          <w:b w:val="0"/>
          <w:bCs w:val="0"/>
          <w:i w:val="0"/>
          <w:iCs w:val="0"/>
          <w:color w:val="auto"/>
          <w:sz w:val="32"/>
          <w:szCs w:val="32"/>
          <w:lang w:val="en-US" w:eastAsia="zh-CN"/>
        </w:rPr>
        <w:t>。全国</w:t>
      </w:r>
      <w:r>
        <w:rPr>
          <w:rFonts w:hint="eastAsia" w:ascii="仿宋_GB2312" w:hAnsi="仿宋_GB2312" w:eastAsia="仿宋_GB2312" w:cs="仿宋_GB2312"/>
          <w:b w:val="0"/>
          <w:bCs w:val="0"/>
          <w:i w:val="0"/>
          <w:iCs w:val="0"/>
          <w:color w:val="auto"/>
          <w:sz w:val="32"/>
          <w:szCs w:val="32"/>
          <w:lang w:val="en-US" w:eastAsia="zh-Hans"/>
        </w:rPr>
        <w:t>全年</w:t>
      </w:r>
      <w:r>
        <w:rPr>
          <w:rFonts w:hint="eastAsia" w:ascii="仿宋_GB2312" w:hAnsi="仿宋_GB2312" w:eastAsia="仿宋_GB2312" w:cs="仿宋_GB2312"/>
          <w:b w:val="0"/>
          <w:bCs w:val="0"/>
          <w:i w:val="0"/>
          <w:iCs w:val="0"/>
          <w:color w:val="auto"/>
          <w:sz w:val="32"/>
          <w:szCs w:val="32"/>
          <w:lang w:val="en-US" w:eastAsia="zh-CN"/>
        </w:rPr>
        <w:t>演出票房收入140.28亿元，</w:t>
      </w:r>
      <w:r>
        <w:rPr>
          <w:rFonts w:hint="eastAsia" w:ascii="仿宋_GB2312" w:hAnsi="仿宋_GB2312" w:eastAsia="仿宋_GB2312" w:cs="仿宋_GB2312"/>
          <w:b w:val="0"/>
          <w:bCs w:val="0"/>
          <w:i w:val="0"/>
          <w:iCs w:val="0"/>
          <w:color w:val="auto"/>
          <w:sz w:val="32"/>
          <w:szCs w:val="32"/>
          <w:lang w:val="en-US" w:eastAsia="zh-Hans"/>
        </w:rPr>
        <w:t>其中专业剧场</w:t>
      </w:r>
      <w:r>
        <w:rPr>
          <w:rFonts w:hint="eastAsia" w:ascii="仿宋_GB2312" w:hAnsi="仿宋_GB2312" w:eastAsia="仿宋_GB2312" w:cs="仿宋_GB2312"/>
          <w:b w:val="0"/>
          <w:bCs w:val="0"/>
          <w:i w:val="0"/>
          <w:iCs w:val="0"/>
          <w:color w:val="auto"/>
          <w:sz w:val="32"/>
          <w:szCs w:val="32"/>
          <w:lang w:val="en-US" w:eastAsia="zh-CN"/>
        </w:rPr>
        <w:t>（含小剧场、演艺新空间）</w:t>
      </w:r>
      <w:r>
        <w:rPr>
          <w:rFonts w:hint="eastAsia" w:ascii="仿宋_GB2312" w:hAnsi="仿宋_GB2312" w:eastAsia="仿宋_GB2312" w:cs="仿宋_GB2312"/>
          <w:b w:val="0"/>
          <w:bCs w:val="0"/>
          <w:i w:val="0"/>
          <w:iCs w:val="0"/>
          <w:color w:val="auto"/>
          <w:sz w:val="32"/>
          <w:szCs w:val="32"/>
          <w:lang w:val="en-US" w:eastAsia="zh-Hans"/>
        </w:rPr>
        <w:t>票房78.09亿元，</w:t>
      </w:r>
      <w:r>
        <w:rPr>
          <w:rFonts w:hint="eastAsia" w:ascii="仿宋_GB2312" w:hAnsi="仿宋_GB2312" w:eastAsia="仿宋_GB2312" w:cs="仿宋_GB2312"/>
          <w:b w:val="0"/>
          <w:bCs w:val="0"/>
          <w:i w:val="0"/>
          <w:iCs w:val="0"/>
          <w:color w:val="auto"/>
          <w:sz w:val="32"/>
          <w:szCs w:val="32"/>
          <w:lang w:val="en-US" w:eastAsia="zh-CN"/>
        </w:rPr>
        <w:t>大型演唱会、音乐节</w:t>
      </w:r>
      <w:r>
        <w:rPr>
          <w:rFonts w:hint="eastAsia" w:ascii="仿宋_GB2312" w:hAnsi="仿宋_GB2312" w:eastAsia="仿宋_GB2312" w:cs="仿宋_GB2312"/>
          <w:b w:val="0"/>
          <w:bCs w:val="0"/>
          <w:i w:val="0"/>
          <w:iCs w:val="0"/>
          <w:color w:val="auto"/>
          <w:sz w:val="32"/>
          <w:szCs w:val="32"/>
          <w:lang w:val="en-US" w:eastAsia="zh-Hans"/>
        </w:rPr>
        <w:t>票房</w:t>
      </w:r>
      <w:r>
        <w:rPr>
          <w:rFonts w:hint="eastAsia" w:ascii="仿宋_GB2312" w:hAnsi="仿宋_GB2312" w:eastAsia="仿宋_GB2312" w:cs="仿宋_GB2312"/>
          <w:b w:val="0"/>
          <w:bCs w:val="0"/>
          <w:i w:val="0"/>
          <w:iCs w:val="0"/>
          <w:color w:val="auto"/>
          <w:sz w:val="32"/>
          <w:szCs w:val="32"/>
          <w:lang w:val="en-US" w:eastAsia="zh-CN"/>
        </w:rPr>
        <w:t>19.98</w:t>
      </w:r>
      <w:r>
        <w:rPr>
          <w:rFonts w:hint="eastAsia" w:ascii="仿宋_GB2312" w:hAnsi="仿宋_GB2312" w:eastAsia="仿宋_GB2312" w:cs="仿宋_GB2312"/>
          <w:b w:val="0"/>
          <w:bCs w:val="0"/>
          <w:i w:val="0"/>
          <w:iCs w:val="0"/>
          <w:color w:val="auto"/>
          <w:sz w:val="32"/>
          <w:szCs w:val="32"/>
          <w:lang w:val="en-US" w:eastAsia="zh-Hans"/>
        </w:rPr>
        <w:t>亿元</w:t>
      </w:r>
      <w:r>
        <w:rPr>
          <w:rFonts w:hint="eastAsia" w:ascii="仿宋_GB2312" w:hAnsi="仿宋_GB2312" w:eastAsia="仿宋_GB2312" w:cs="仿宋_GB2312"/>
          <w:b w:val="0"/>
          <w:bCs w:val="0"/>
          <w:i w:val="0"/>
          <w:iCs w:val="0"/>
          <w:color w:val="auto"/>
          <w:sz w:val="32"/>
          <w:szCs w:val="32"/>
          <w:lang w:val="en-US" w:eastAsia="zh-CN"/>
        </w:rPr>
        <w:t>，</w:t>
      </w:r>
      <w:r>
        <w:rPr>
          <w:rFonts w:hint="eastAsia" w:ascii="仿宋_GB2312" w:hAnsi="仿宋_GB2312" w:eastAsia="仿宋_GB2312" w:cs="仿宋_GB2312"/>
          <w:b w:val="0"/>
          <w:bCs w:val="0"/>
          <w:i w:val="0"/>
          <w:iCs w:val="0"/>
          <w:color w:val="auto"/>
          <w:sz w:val="32"/>
          <w:szCs w:val="32"/>
          <w:lang w:val="en-US" w:eastAsia="zh-Hans"/>
        </w:rPr>
        <w:t>旅游演艺票房42.21亿元</w:t>
      </w:r>
      <w:r>
        <w:rPr>
          <w:rFonts w:hint="eastAsia" w:ascii="仿宋_GB2312" w:hAnsi="仿宋_GB2312" w:eastAsia="仿宋_GB2312" w:cs="仿宋_GB2312"/>
          <w:b w:val="0"/>
          <w:bCs w:val="0"/>
          <w:i w:val="0"/>
          <w:iCs w:val="0"/>
          <w:color w:val="auto"/>
          <w:sz w:val="32"/>
          <w:szCs w:val="32"/>
          <w:lang w:val="en-US" w:eastAsia="zh-CN"/>
        </w:rPr>
        <w:t>。与上年同比增长183.11%，与2019年同比降低30.00%</w:t>
      </w:r>
      <w:r>
        <w:rPr>
          <w:rFonts w:hint="eastAsia" w:ascii="仿宋_GB2312" w:hAnsi="仿宋_GB2312" w:eastAsia="仿宋_GB2312" w:cs="仿宋_GB2312"/>
          <w:b w:val="0"/>
          <w:bCs w:val="0"/>
          <w:i w:val="0"/>
          <w:iCs w:val="0"/>
          <w:color w:val="auto"/>
          <w:sz w:val="32"/>
          <w:szCs w:val="32"/>
          <w:lang w:val="en-US" w:eastAsia="zh-Hans"/>
        </w:rPr>
        <w:t>。</w:t>
      </w:r>
    </w:p>
    <w:p>
      <w:pPr>
        <w:numPr>
          <w:ilvl w:val="0"/>
          <w:numId w:val="0"/>
        </w:numPr>
        <w:jc w:val="left"/>
        <w:rPr>
          <w:rFonts w:hint="eastAsia" w:ascii="仿宋_GB2312" w:hAnsi="仿宋_GB2312" w:eastAsia="仿宋_GB2312" w:cs="仿宋_GB2312"/>
          <w:b w:val="0"/>
          <w:bCs w:val="0"/>
          <w:i w:val="0"/>
          <w:iCs w:val="0"/>
          <w:color w:val="auto"/>
          <w:sz w:val="32"/>
          <w:szCs w:val="32"/>
          <w:lang w:val="en-US" w:eastAsia="zh-Hans"/>
        </w:rPr>
      </w:pPr>
    </w:p>
    <w:p>
      <w:pPr>
        <w:pStyle w:val="17"/>
        <w:jc w:val="center"/>
      </w:pPr>
      <w:r>
        <w:drawing>
          <wp:inline distT="0" distB="0" distL="114300" distR="114300">
            <wp:extent cx="4572000" cy="2743200"/>
            <wp:effectExtent l="4445" t="4445" r="14605" b="14605"/>
            <wp:docPr id="4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jc w:val="center"/>
        <w:rPr>
          <w:rFonts w:hint="default" w:eastAsia="宋体"/>
          <w:lang w:val="en-US" w:eastAsia="zh-CN"/>
        </w:rPr>
      </w:pPr>
      <w:r>
        <w:rPr>
          <w:rFonts w:hint="eastAsia" w:asciiTheme="minorEastAsia" w:hAnsiTheme="minorEastAsia" w:eastAsiaTheme="minorEastAsia" w:cstheme="minorEastAsia"/>
          <w:b/>
          <w:bCs/>
          <w:sz w:val="20"/>
          <w:szCs w:val="20"/>
          <w:lang w:eastAsia="zh-CN"/>
        </w:rPr>
        <w:t>图表</w:t>
      </w:r>
      <w:r>
        <w:rPr>
          <w:rFonts w:hint="eastAsia" w:asciiTheme="minorEastAsia" w:hAnsiTheme="minorEastAsia" w:eastAsiaTheme="minorEastAsia" w:cstheme="minorEastAsia"/>
          <w:b/>
          <w:bCs/>
          <w:sz w:val="20"/>
          <w:szCs w:val="20"/>
          <w:lang w:val="en-US" w:eastAsia="zh-CN"/>
        </w:rPr>
        <w:t>4-1  2021年全国演出场次构成</w:t>
      </w:r>
    </w:p>
    <w:p>
      <w:pPr>
        <w:rPr>
          <w:rFonts w:hint="eastAsia"/>
          <w:lang w:val="en-US" w:eastAsia="zh-Hans"/>
        </w:rPr>
      </w:pPr>
    </w:p>
    <w:p>
      <w:pPr>
        <w:jc w:val="center"/>
        <w:rPr>
          <w:rFonts w:hint="eastAsia" w:ascii="仿宋_GB2312" w:hAnsi="仿宋_GB2312" w:eastAsia="仿宋_GB2312" w:cs="仿宋_GB2312"/>
          <w:b w:val="0"/>
          <w:bCs w:val="0"/>
          <w:i w:val="0"/>
          <w:iCs w:val="0"/>
          <w:color w:val="auto"/>
          <w:sz w:val="32"/>
          <w:szCs w:val="32"/>
          <w:lang w:val="en-US" w:eastAsia="zh-Hans"/>
        </w:rPr>
      </w:pPr>
      <w:r>
        <w:drawing>
          <wp:inline distT="0" distB="0" distL="114300" distR="114300">
            <wp:extent cx="4572000" cy="2743200"/>
            <wp:effectExtent l="4445" t="4445" r="14605" b="14605"/>
            <wp:docPr id="4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jc w:val="center"/>
        <w:rPr>
          <w:rFonts w:hint="eastAsia"/>
          <w:lang w:val="en-US" w:eastAsia="zh-CN"/>
        </w:rPr>
      </w:pPr>
      <w:r>
        <w:rPr>
          <w:rFonts w:hint="eastAsia" w:asciiTheme="minorEastAsia" w:hAnsiTheme="minorEastAsia" w:eastAsiaTheme="minorEastAsia" w:cstheme="minorEastAsia"/>
          <w:b/>
          <w:bCs/>
          <w:sz w:val="20"/>
          <w:szCs w:val="20"/>
          <w:lang w:eastAsia="zh-CN"/>
        </w:rPr>
        <w:t>图</w:t>
      </w:r>
      <w:r>
        <w:rPr>
          <w:rFonts w:hint="eastAsia" w:asciiTheme="minorEastAsia" w:hAnsiTheme="minorEastAsia" w:eastAsiaTheme="minorEastAsia" w:cstheme="minorEastAsia"/>
          <w:b/>
          <w:bCs/>
          <w:sz w:val="20"/>
          <w:szCs w:val="20"/>
          <w:lang w:val="en-US" w:eastAsia="zh-CN"/>
        </w:rPr>
        <w:t>表4-2  2021年全国演出票房收入构成</w:t>
      </w:r>
    </w:p>
    <w:p>
      <w:pPr>
        <w:numPr>
          <w:ilvl w:val="0"/>
          <w:numId w:val="0"/>
        </w:numPr>
        <w:ind w:firstLine="640" w:firstLineChars="200"/>
        <w:jc w:val="left"/>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相应的，</w:t>
      </w:r>
      <w:r>
        <w:rPr>
          <w:rFonts w:hint="eastAsia" w:ascii="仿宋_GB2312" w:hAnsi="仿宋_GB2312" w:eastAsia="仿宋_GB2312" w:cs="仿宋_GB2312"/>
          <w:b w:val="0"/>
          <w:bCs w:val="0"/>
          <w:i w:val="0"/>
          <w:iCs w:val="0"/>
          <w:color w:val="auto"/>
          <w:sz w:val="32"/>
          <w:szCs w:val="32"/>
          <w:lang w:val="en-US" w:eastAsia="zh-Hans"/>
        </w:rPr>
        <w:t>四川省2021年演出场次1.37万场（</w:t>
      </w:r>
      <w:r>
        <w:rPr>
          <w:rFonts w:hint="eastAsia" w:ascii="仿宋_GB2312" w:hAnsi="仿宋_GB2312" w:eastAsia="仿宋_GB2312" w:cs="仿宋_GB2312"/>
          <w:b w:val="0"/>
          <w:bCs w:val="0"/>
          <w:i w:val="0"/>
          <w:iCs w:val="0"/>
          <w:color w:val="auto"/>
          <w:sz w:val="32"/>
          <w:szCs w:val="32"/>
          <w:lang w:val="en-US" w:eastAsia="zh-CN"/>
        </w:rPr>
        <w:t>其中</w:t>
      </w:r>
      <w:r>
        <w:rPr>
          <w:rFonts w:hint="eastAsia" w:ascii="仿宋_GB2312" w:hAnsi="仿宋_GB2312" w:eastAsia="仿宋_GB2312" w:cs="仿宋_GB2312"/>
          <w:b w:val="0"/>
          <w:bCs w:val="0"/>
          <w:i w:val="0"/>
          <w:iCs w:val="0"/>
          <w:color w:val="auto"/>
          <w:sz w:val="32"/>
          <w:szCs w:val="32"/>
          <w:lang w:val="en-US" w:eastAsia="zh-Hans"/>
        </w:rPr>
        <w:t>0.35</w:t>
      </w:r>
      <w:r>
        <w:rPr>
          <w:rFonts w:hint="eastAsia" w:ascii="仿宋_GB2312" w:hAnsi="仿宋_GB2312" w:eastAsia="仿宋_GB2312" w:cs="仿宋_GB2312"/>
          <w:b w:val="0"/>
          <w:bCs w:val="0"/>
          <w:i w:val="0"/>
          <w:iCs w:val="0"/>
          <w:color w:val="auto"/>
          <w:sz w:val="32"/>
          <w:szCs w:val="32"/>
          <w:lang w:val="en-US" w:eastAsia="zh-CN"/>
        </w:rPr>
        <w:t>万场次为旅游演艺相关演出</w:t>
      </w:r>
      <w:r>
        <w:rPr>
          <w:rFonts w:hint="eastAsia" w:ascii="仿宋_GB2312" w:hAnsi="仿宋_GB2312" w:eastAsia="仿宋_GB2312" w:cs="仿宋_GB2312"/>
          <w:b w:val="0"/>
          <w:bCs w:val="0"/>
          <w:i w:val="0"/>
          <w:iCs w:val="0"/>
          <w:color w:val="auto"/>
          <w:sz w:val="32"/>
          <w:szCs w:val="32"/>
          <w:lang w:val="en-US" w:eastAsia="zh-Hans"/>
        </w:rPr>
        <w:t>），票房收入12.07亿元（</w:t>
      </w:r>
      <w:r>
        <w:rPr>
          <w:rFonts w:hint="eastAsia" w:ascii="仿宋_GB2312" w:hAnsi="仿宋_GB2312" w:eastAsia="仿宋_GB2312" w:cs="仿宋_GB2312"/>
          <w:b w:val="0"/>
          <w:bCs w:val="0"/>
          <w:i w:val="0"/>
          <w:iCs w:val="0"/>
          <w:color w:val="auto"/>
          <w:sz w:val="32"/>
          <w:szCs w:val="32"/>
          <w:lang w:val="en-US" w:eastAsia="zh-CN"/>
        </w:rPr>
        <w:t>其中</w:t>
      </w:r>
      <w:r>
        <w:rPr>
          <w:rFonts w:hint="eastAsia" w:ascii="仿宋_GB2312" w:hAnsi="仿宋_GB2312" w:eastAsia="仿宋_GB2312" w:cs="仿宋_GB2312"/>
          <w:b w:val="0"/>
          <w:bCs w:val="0"/>
          <w:i w:val="0"/>
          <w:iCs w:val="0"/>
          <w:color w:val="auto"/>
          <w:sz w:val="32"/>
          <w:szCs w:val="32"/>
          <w:lang w:val="en-US" w:eastAsia="zh-Hans"/>
        </w:rPr>
        <w:t>3.89亿元</w:t>
      </w:r>
      <w:r>
        <w:rPr>
          <w:rFonts w:hint="eastAsia" w:ascii="仿宋_GB2312" w:hAnsi="仿宋_GB2312" w:eastAsia="仿宋_GB2312" w:cs="仿宋_GB2312"/>
          <w:b w:val="0"/>
          <w:bCs w:val="0"/>
          <w:i w:val="0"/>
          <w:iCs w:val="0"/>
          <w:color w:val="auto"/>
          <w:sz w:val="32"/>
          <w:szCs w:val="32"/>
          <w:lang w:val="en-US" w:eastAsia="zh-CN"/>
        </w:rPr>
        <w:t>为旅游演艺票房收入</w:t>
      </w:r>
      <w:r>
        <w:rPr>
          <w:rFonts w:hint="eastAsia" w:ascii="仿宋_GB2312" w:hAnsi="仿宋_GB2312" w:eastAsia="仿宋_GB2312" w:cs="仿宋_GB2312"/>
          <w:b w:val="0"/>
          <w:bCs w:val="0"/>
          <w:i w:val="0"/>
          <w:iCs w:val="0"/>
          <w:color w:val="auto"/>
          <w:sz w:val="32"/>
          <w:szCs w:val="32"/>
          <w:lang w:val="en-US" w:eastAsia="zh-Hans"/>
        </w:rPr>
        <w:t>），观演人次568.59万人次（</w:t>
      </w:r>
      <w:r>
        <w:rPr>
          <w:rFonts w:hint="eastAsia" w:ascii="仿宋_GB2312" w:hAnsi="仿宋_GB2312" w:eastAsia="仿宋_GB2312" w:cs="仿宋_GB2312"/>
          <w:b w:val="0"/>
          <w:bCs w:val="0"/>
          <w:i w:val="0"/>
          <w:iCs w:val="0"/>
          <w:color w:val="auto"/>
          <w:sz w:val="32"/>
          <w:szCs w:val="32"/>
          <w:lang w:val="en-US" w:eastAsia="zh-CN"/>
        </w:rPr>
        <w:t>其中169</w:t>
      </w:r>
      <w:r>
        <w:rPr>
          <w:rFonts w:hint="eastAsia" w:ascii="仿宋_GB2312" w:hAnsi="仿宋_GB2312" w:eastAsia="仿宋_GB2312" w:cs="仿宋_GB2312"/>
          <w:b w:val="0"/>
          <w:bCs w:val="0"/>
          <w:i w:val="0"/>
          <w:iCs w:val="0"/>
          <w:color w:val="auto"/>
          <w:sz w:val="32"/>
          <w:szCs w:val="32"/>
          <w:lang w:val="en-US" w:eastAsia="zh-Hans"/>
        </w:rPr>
        <w:t>.</w:t>
      </w:r>
      <w:r>
        <w:rPr>
          <w:rFonts w:hint="eastAsia" w:ascii="仿宋_GB2312" w:hAnsi="仿宋_GB2312" w:eastAsia="仿宋_GB2312" w:cs="仿宋_GB2312"/>
          <w:b w:val="0"/>
          <w:bCs w:val="0"/>
          <w:i w:val="0"/>
          <w:iCs w:val="0"/>
          <w:color w:val="auto"/>
          <w:sz w:val="32"/>
          <w:szCs w:val="32"/>
          <w:lang w:val="en-US" w:eastAsia="zh-CN"/>
        </w:rPr>
        <w:t>63万人次为旅游演艺观演人数</w:t>
      </w:r>
      <w:r>
        <w:rPr>
          <w:rFonts w:hint="eastAsia" w:ascii="仿宋_GB2312" w:hAnsi="仿宋_GB2312" w:eastAsia="仿宋_GB2312" w:cs="仿宋_GB2312"/>
          <w:b w:val="0"/>
          <w:bCs w:val="0"/>
          <w:i w:val="0"/>
          <w:iCs w:val="0"/>
          <w:color w:val="auto"/>
          <w:sz w:val="32"/>
          <w:szCs w:val="32"/>
          <w:lang w:val="en-US" w:eastAsia="zh-Hans"/>
        </w:rPr>
        <w:t>）。四川</w:t>
      </w:r>
      <w:r>
        <w:rPr>
          <w:rFonts w:hint="eastAsia" w:ascii="仿宋_GB2312" w:hAnsi="仿宋_GB2312" w:eastAsia="仿宋_GB2312" w:cs="仿宋_GB2312"/>
          <w:b w:val="0"/>
          <w:bCs w:val="0"/>
          <w:i w:val="0"/>
          <w:iCs w:val="0"/>
          <w:color w:val="auto"/>
          <w:sz w:val="32"/>
          <w:szCs w:val="32"/>
          <w:lang w:val="en-US" w:eastAsia="zh-CN"/>
        </w:rPr>
        <w:t>省</w:t>
      </w:r>
      <w:r>
        <w:rPr>
          <w:rFonts w:hint="eastAsia" w:ascii="仿宋_GB2312" w:hAnsi="仿宋_GB2312" w:eastAsia="仿宋_GB2312" w:cs="仿宋_GB2312"/>
          <w:b w:val="0"/>
          <w:bCs w:val="0"/>
          <w:i w:val="0"/>
          <w:iCs w:val="0"/>
          <w:color w:val="auto"/>
          <w:sz w:val="32"/>
          <w:szCs w:val="32"/>
          <w:lang w:val="en-US" w:eastAsia="zh-Hans"/>
        </w:rPr>
        <w:t>演出市场票房总收入12.07亿元</w:t>
      </w:r>
      <w:r>
        <w:rPr>
          <w:rFonts w:hint="eastAsia" w:ascii="仿宋_GB2312" w:hAnsi="仿宋_GB2312" w:eastAsia="仿宋_GB2312" w:cs="仿宋_GB2312"/>
          <w:b w:val="0"/>
          <w:bCs w:val="0"/>
          <w:i w:val="0"/>
          <w:iCs w:val="0"/>
          <w:color w:val="auto"/>
          <w:sz w:val="32"/>
          <w:szCs w:val="32"/>
          <w:lang w:val="en-US" w:eastAsia="zh-CN"/>
        </w:rPr>
        <w:t>（含旅游演艺票房总收入）</w:t>
      </w:r>
      <w:r>
        <w:rPr>
          <w:rFonts w:hint="eastAsia" w:ascii="仿宋_GB2312" w:hAnsi="仿宋_GB2312" w:eastAsia="仿宋_GB2312" w:cs="仿宋_GB2312"/>
          <w:b w:val="0"/>
          <w:bCs w:val="0"/>
          <w:i w:val="0"/>
          <w:iCs w:val="0"/>
          <w:color w:val="auto"/>
          <w:sz w:val="32"/>
          <w:szCs w:val="32"/>
          <w:lang w:val="en-US" w:eastAsia="zh-Hans"/>
        </w:rPr>
        <w:t>，占全国票房总收入</w:t>
      </w:r>
      <w:r>
        <w:rPr>
          <w:rFonts w:hint="eastAsia" w:ascii="仿宋_GB2312" w:hAnsi="仿宋_GB2312" w:eastAsia="仿宋_GB2312" w:cs="仿宋_GB2312"/>
          <w:b w:val="0"/>
          <w:bCs w:val="0"/>
          <w:i w:val="0"/>
          <w:iCs w:val="0"/>
          <w:color w:val="auto"/>
          <w:sz w:val="32"/>
          <w:szCs w:val="32"/>
          <w:lang w:val="en-US" w:eastAsia="zh-CN"/>
        </w:rPr>
        <w:t>140.28亿元</w:t>
      </w:r>
      <w:r>
        <w:rPr>
          <w:rFonts w:hint="eastAsia" w:ascii="仿宋_GB2312" w:hAnsi="仿宋_GB2312" w:eastAsia="仿宋_GB2312" w:cs="仿宋_GB2312"/>
          <w:b w:val="0"/>
          <w:bCs w:val="0"/>
          <w:i w:val="0"/>
          <w:iCs w:val="0"/>
          <w:color w:val="auto"/>
          <w:sz w:val="32"/>
          <w:szCs w:val="32"/>
          <w:lang w:val="en-US" w:eastAsia="zh-Hans"/>
        </w:rPr>
        <w:t>的8.60%</w:t>
      </w:r>
      <w:r>
        <w:rPr>
          <w:rFonts w:hint="eastAsia" w:ascii="仿宋_GB2312" w:hAnsi="仿宋_GB2312" w:eastAsia="仿宋_GB2312" w:cs="仿宋_GB2312"/>
          <w:b w:val="0"/>
          <w:bCs w:val="0"/>
          <w:i w:val="0"/>
          <w:iCs w:val="0"/>
          <w:color w:val="auto"/>
          <w:sz w:val="32"/>
          <w:szCs w:val="32"/>
          <w:lang w:val="en-US" w:eastAsia="zh-CN"/>
        </w:rPr>
        <w:t>，</w:t>
      </w:r>
      <w:r>
        <w:rPr>
          <w:rFonts w:hint="eastAsia" w:ascii="仿宋_GB2312" w:hAnsi="仿宋_GB2312" w:eastAsia="仿宋_GB2312" w:cs="仿宋_GB2312"/>
          <w:b w:val="0"/>
          <w:bCs w:val="0"/>
          <w:i w:val="0"/>
          <w:iCs w:val="0"/>
          <w:color w:val="auto"/>
          <w:sz w:val="32"/>
          <w:szCs w:val="32"/>
          <w:lang w:val="en-US" w:eastAsia="zh-Hans"/>
        </w:rPr>
        <w:t>演出场次占全国总演出场次18.97的7.22%</w:t>
      </w:r>
      <w:r>
        <w:rPr>
          <w:rFonts w:hint="eastAsia" w:ascii="仿宋_GB2312" w:hAnsi="仿宋_GB2312" w:eastAsia="仿宋_GB2312" w:cs="仿宋_GB2312"/>
          <w:b w:val="0"/>
          <w:bCs w:val="0"/>
          <w:i w:val="0"/>
          <w:iCs w:val="0"/>
          <w:color w:val="auto"/>
          <w:sz w:val="32"/>
          <w:szCs w:val="32"/>
          <w:lang w:val="en-US" w:eastAsia="zh-CN"/>
        </w:rPr>
        <w:t>。</w:t>
      </w:r>
    </w:p>
    <w:p>
      <w:pPr>
        <w:numPr>
          <w:ilvl w:val="0"/>
          <w:numId w:val="0"/>
        </w:numPr>
        <w:ind w:firstLine="420" w:firstLineChars="200"/>
        <w:jc w:val="center"/>
        <w:rPr>
          <w:rFonts w:hint="eastAsia" w:ascii="仿宋_GB2312" w:hAnsi="仿宋_GB2312" w:eastAsia="仿宋_GB2312" w:cs="仿宋_GB2312"/>
          <w:b w:val="0"/>
          <w:bCs w:val="0"/>
          <w:i w:val="0"/>
          <w:iCs w:val="0"/>
          <w:color w:val="auto"/>
          <w:sz w:val="32"/>
          <w:szCs w:val="32"/>
          <w:lang w:val="en-US" w:eastAsia="zh-CN"/>
        </w:rPr>
      </w:pPr>
      <w:r>
        <w:drawing>
          <wp:inline distT="0" distB="0" distL="114300" distR="114300">
            <wp:extent cx="4572000" cy="2743200"/>
            <wp:effectExtent l="4445" t="4445" r="14605" b="14605"/>
            <wp:docPr id="3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jc w:val="center"/>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eastAsia="zh-CN"/>
        </w:rPr>
        <w:t>图表</w:t>
      </w:r>
      <w:r>
        <w:rPr>
          <w:rFonts w:hint="eastAsia" w:asciiTheme="minorEastAsia" w:hAnsiTheme="minorEastAsia" w:eastAsiaTheme="minorEastAsia" w:cstheme="minorEastAsia"/>
          <w:b/>
          <w:bCs/>
          <w:sz w:val="20"/>
          <w:szCs w:val="20"/>
          <w:lang w:val="en-US" w:eastAsia="zh-CN"/>
        </w:rPr>
        <w:t>4-3  2021年四川省演出场次占全国份额（含旅游演艺）</w:t>
      </w:r>
    </w:p>
    <w:p>
      <w:pPr>
        <w:numPr>
          <w:ilvl w:val="0"/>
          <w:numId w:val="0"/>
        </w:numPr>
        <w:ind w:firstLine="640" w:firstLineChars="200"/>
        <w:jc w:val="left"/>
        <w:rPr>
          <w:rFonts w:hint="eastAsia" w:ascii="仿宋_GB2312" w:hAnsi="仿宋_GB2312" w:eastAsia="仿宋_GB2312" w:cs="仿宋_GB2312"/>
          <w:b w:val="0"/>
          <w:bCs w:val="0"/>
          <w:i w:val="0"/>
          <w:iCs w:val="0"/>
          <w:color w:val="auto"/>
          <w:sz w:val="32"/>
          <w:szCs w:val="32"/>
          <w:lang w:val="en-US" w:eastAsia="zh-CN"/>
        </w:rPr>
      </w:pPr>
    </w:p>
    <w:p>
      <w:pPr>
        <w:numPr>
          <w:ilvl w:val="0"/>
          <w:numId w:val="0"/>
        </w:numPr>
        <w:ind w:firstLine="420" w:firstLineChars="200"/>
        <w:jc w:val="center"/>
        <w:rPr>
          <w:rFonts w:hint="eastAsia" w:ascii="仿宋_GB2312" w:hAnsi="仿宋_GB2312" w:eastAsia="仿宋_GB2312" w:cs="仿宋_GB2312"/>
          <w:b w:val="0"/>
          <w:bCs w:val="0"/>
          <w:i w:val="0"/>
          <w:iCs w:val="0"/>
          <w:color w:val="auto"/>
          <w:sz w:val="32"/>
          <w:szCs w:val="32"/>
          <w:lang w:val="en-US" w:eastAsia="zh-CN"/>
        </w:rPr>
      </w:pPr>
      <w:r>
        <w:drawing>
          <wp:inline distT="0" distB="0" distL="114300" distR="114300">
            <wp:extent cx="4572000" cy="2743200"/>
            <wp:effectExtent l="4445" t="4445" r="14605" b="14605"/>
            <wp:docPr id="4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jc w:val="center"/>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eastAsia="zh-CN"/>
        </w:rPr>
        <w:t>图表</w:t>
      </w:r>
      <w:r>
        <w:rPr>
          <w:rFonts w:hint="eastAsia" w:asciiTheme="minorEastAsia" w:hAnsiTheme="minorEastAsia" w:eastAsiaTheme="minorEastAsia" w:cstheme="minorEastAsia"/>
          <w:b/>
          <w:bCs/>
          <w:sz w:val="20"/>
          <w:szCs w:val="20"/>
          <w:lang w:val="en-US" w:eastAsia="zh-CN"/>
        </w:rPr>
        <w:t>4-4  2021年四川省演出票房收入占全国份额（含旅游演艺）</w:t>
      </w:r>
    </w:p>
    <w:p>
      <w:pPr>
        <w:pStyle w:val="17"/>
        <w:rPr>
          <w:rFonts w:hint="eastAsia"/>
          <w:lang w:val="en-US" w:eastAsia="zh-CN"/>
        </w:rPr>
      </w:pPr>
    </w:p>
    <w:p>
      <w:pPr>
        <w:ind w:firstLine="640" w:firstLineChars="200"/>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进一步来看，根据中国演出行业协会公布和提供的数据。我国34个省级行政区中，四川省在年度演出场次排名和票房收入排名分别位列第4位和第6位（这两项数据分别占全国数据的5.38%和5.83%），其中在演出场次这一项数据中，仅落后于北京市以及地处演出市场排头兵——华东地区的上海市和江苏省。值得注意的是，四川成都在</w:t>
      </w:r>
      <w:r>
        <w:rPr>
          <w:rFonts w:hint="eastAsia" w:ascii="仿宋_GB2312" w:hAnsi="仿宋_GB2312" w:eastAsia="仿宋_GB2312" w:cs="仿宋_GB2312"/>
          <w:b w:val="0"/>
          <w:bCs w:val="0"/>
          <w:i w:val="0"/>
          <w:iCs w:val="0"/>
          <w:color w:val="auto"/>
          <w:sz w:val="32"/>
          <w:szCs w:val="32"/>
          <w:lang w:val="en-US" w:eastAsia="zh-Hans"/>
        </w:rPr>
        <w:t>演出场次、</w:t>
      </w:r>
      <w:r>
        <w:rPr>
          <w:rFonts w:hint="eastAsia" w:ascii="仿宋_GB2312" w:hAnsi="仿宋_GB2312" w:eastAsia="仿宋_GB2312" w:cs="仿宋_GB2312"/>
          <w:b w:val="0"/>
          <w:bCs w:val="0"/>
          <w:i w:val="0"/>
          <w:iCs w:val="0"/>
          <w:color w:val="auto"/>
          <w:sz w:val="32"/>
          <w:szCs w:val="32"/>
          <w:lang w:val="en-US" w:eastAsia="zh-CN"/>
        </w:rPr>
        <w:t>票房综合收入两项数据中均在省会及计划单列市中排名第一。</w:t>
      </w:r>
    </w:p>
    <w:p>
      <w:pPr>
        <w:ind w:firstLine="640" w:firstLineChars="200"/>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在不含旅游演艺的数据中，</w:t>
      </w:r>
      <w:r>
        <w:rPr>
          <w:rFonts w:hint="eastAsia" w:ascii="仿宋_GB2312" w:hAnsi="仿宋_GB2312" w:eastAsia="仿宋_GB2312" w:cs="仿宋_GB2312"/>
          <w:b w:val="0"/>
          <w:bCs w:val="0"/>
          <w:i w:val="0"/>
          <w:iCs w:val="0"/>
          <w:color w:val="auto"/>
          <w:sz w:val="32"/>
          <w:szCs w:val="32"/>
          <w:lang w:val="en-US" w:eastAsia="zh-Hans"/>
        </w:rPr>
        <w:t>整个西部地区演出场次2.74万场，票房收入19.05亿元</w:t>
      </w:r>
      <w:r>
        <w:rPr>
          <w:rFonts w:hint="eastAsia" w:ascii="仿宋_GB2312" w:hAnsi="仿宋_GB2312" w:eastAsia="仿宋_GB2312" w:cs="仿宋_GB2312"/>
          <w:b w:val="0"/>
          <w:bCs w:val="0"/>
          <w:i w:val="0"/>
          <w:iCs w:val="0"/>
          <w:color w:val="auto"/>
          <w:sz w:val="32"/>
          <w:szCs w:val="32"/>
          <w:lang w:val="en-US" w:eastAsia="zh-CN"/>
        </w:rPr>
        <w:t>，</w:t>
      </w:r>
      <w:r>
        <w:rPr>
          <w:rFonts w:hint="eastAsia" w:ascii="仿宋_GB2312" w:hAnsi="仿宋_GB2312" w:eastAsia="仿宋_GB2312" w:cs="仿宋_GB2312"/>
          <w:b w:val="0"/>
          <w:bCs w:val="0"/>
          <w:i w:val="0"/>
          <w:iCs w:val="0"/>
          <w:color w:val="auto"/>
          <w:sz w:val="32"/>
          <w:szCs w:val="32"/>
          <w:lang w:val="en-US" w:eastAsia="zh-Hans"/>
        </w:rPr>
        <w:t>观演人次861.98万人。四川</w:t>
      </w:r>
      <w:r>
        <w:rPr>
          <w:rFonts w:hint="eastAsia" w:ascii="仿宋_GB2312" w:hAnsi="仿宋_GB2312" w:eastAsia="仿宋_GB2312" w:cs="仿宋_GB2312"/>
          <w:b w:val="0"/>
          <w:bCs w:val="0"/>
          <w:i w:val="0"/>
          <w:iCs w:val="0"/>
          <w:color w:val="auto"/>
          <w:sz w:val="32"/>
          <w:szCs w:val="32"/>
          <w:lang w:val="en-US" w:eastAsia="zh-CN"/>
        </w:rPr>
        <w:t>省</w:t>
      </w:r>
      <w:r>
        <w:rPr>
          <w:rFonts w:hint="eastAsia" w:ascii="仿宋_GB2312" w:hAnsi="仿宋_GB2312" w:eastAsia="仿宋_GB2312" w:cs="仿宋_GB2312"/>
          <w:b w:val="0"/>
          <w:bCs w:val="0"/>
          <w:i w:val="0"/>
          <w:iCs w:val="0"/>
          <w:color w:val="auto"/>
          <w:sz w:val="32"/>
          <w:szCs w:val="32"/>
          <w:lang w:val="en-US" w:eastAsia="zh-Hans"/>
        </w:rPr>
        <w:t>演出场次占西部地区演出场次的37.23%</w:t>
      </w:r>
      <w:r>
        <w:rPr>
          <w:rFonts w:hint="eastAsia" w:ascii="仿宋_GB2312" w:hAnsi="仿宋_GB2312" w:eastAsia="仿宋_GB2312" w:cs="仿宋_GB2312"/>
          <w:b w:val="0"/>
          <w:bCs w:val="0"/>
          <w:i w:val="0"/>
          <w:iCs w:val="0"/>
          <w:color w:val="auto"/>
          <w:sz w:val="32"/>
          <w:szCs w:val="32"/>
          <w:lang w:val="en-US" w:eastAsia="zh-CN"/>
        </w:rPr>
        <w:t>，</w:t>
      </w:r>
      <w:r>
        <w:rPr>
          <w:rFonts w:hint="eastAsia" w:ascii="仿宋_GB2312" w:hAnsi="仿宋_GB2312" w:eastAsia="仿宋_GB2312" w:cs="仿宋_GB2312"/>
          <w:b w:val="0"/>
          <w:bCs w:val="0"/>
          <w:i w:val="0"/>
          <w:iCs w:val="0"/>
          <w:color w:val="auto"/>
          <w:sz w:val="32"/>
          <w:szCs w:val="32"/>
          <w:lang w:val="en-US" w:eastAsia="zh-Hans"/>
        </w:rPr>
        <w:t>观演人次占西部地区46.28%</w:t>
      </w:r>
      <w:r>
        <w:rPr>
          <w:rFonts w:hint="eastAsia" w:ascii="仿宋_GB2312" w:hAnsi="仿宋_GB2312" w:eastAsia="仿宋_GB2312" w:cs="仿宋_GB2312"/>
          <w:b w:val="0"/>
          <w:bCs w:val="0"/>
          <w:i w:val="0"/>
          <w:iCs w:val="0"/>
          <w:color w:val="auto"/>
          <w:sz w:val="32"/>
          <w:szCs w:val="32"/>
          <w:lang w:val="en-US" w:eastAsia="zh-CN"/>
        </w:rPr>
        <w:t>，</w:t>
      </w:r>
      <w:r>
        <w:rPr>
          <w:rFonts w:hint="eastAsia" w:ascii="仿宋_GB2312" w:hAnsi="仿宋_GB2312" w:eastAsia="仿宋_GB2312" w:cs="仿宋_GB2312"/>
          <w:b w:val="0"/>
          <w:bCs w:val="0"/>
          <w:i w:val="0"/>
          <w:iCs w:val="0"/>
          <w:color w:val="auto"/>
          <w:sz w:val="32"/>
          <w:szCs w:val="32"/>
          <w:lang w:val="en-US" w:eastAsia="zh-Hans"/>
        </w:rPr>
        <w:t>票房收入占42.94%。</w:t>
      </w:r>
      <w:r>
        <w:rPr>
          <w:rFonts w:hint="eastAsia" w:ascii="仿宋_GB2312" w:hAnsi="仿宋_GB2312" w:eastAsia="仿宋_GB2312" w:cs="仿宋_GB2312"/>
          <w:b w:val="0"/>
          <w:bCs w:val="0"/>
          <w:i w:val="0"/>
          <w:iCs w:val="0"/>
          <w:color w:val="auto"/>
          <w:sz w:val="32"/>
          <w:szCs w:val="32"/>
          <w:lang w:val="en-US" w:eastAsia="zh-CN"/>
        </w:rPr>
        <w:t>在整个西部地区中不乏西安（陕西西安同为2021演出场次和票房收入综合前十的省会及计划单列城市）和昆明等西部中心城市，专业剧场演出和户外音乐节均较为活跃。四川省能在西部地区市场占据超过三分之一的份额也有很多原因。</w:t>
      </w:r>
    </w:p>
    <w:p>
      <w:pPr>
        <w:pStyle w:val="17"/>
        <w:rPr>
          <w:rFonts w:hint="eastAsia"/>
          <w:lang w:val="en-US" w:eastAsia="zh-CN"/>
        </w:rPr>
      </w:pPr>
    </w:p>
    <w:p>
      <w:pPr>
        <w:pStyle w:val="17"/>
        <w:jc w:val="center"/>
      </w:pPr>
      <w:r>
        <w:drawing>
          <wp:inline distT="0" distB="0" distL="114300" distR="114300">
            <wp:extent cx="4572000" cy="2743200"/>
            <wp:effectExtent l="4445" t="4445" r="14605" b="14605"/>
            <wp:docPr id="4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jc w:val="center"/>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eastAsia="zh-CN"/>
        </w:rPr>
        <w:t>图表</w:t>
      </w:r>
      <w:r>
        <w:rPr>
          <w:rFonts w:hint="eastAsia" w:asciiTheme="minorEastAsia" w:hAnsiTheme="minorEastAsia" w:eastAsiaTheme="minorEastAsia" w:cstheme="minorEastAsia"/>
          <w:b/>
          <w:bCs/>
          <w:sz w:val="20"/>
          <w:szCs w:val="20"/>
          <w:lang w:val="en-US" w:eastAsia="zh-CN"/>
        </w:rPr>
        <w:t>4-5  2021年四川省演出场次占西部地区份额（不含旅游演艺）</w:t>
      </w:r>
    </w:p>
    <w:p>
      <w:pPr>
        <w:pStyle w:val="17"/>
      </w:pPr>
    </w:p>
    <w:p/>
    <w:p>
      <w:pPr>
        <w:pStyle w:val="17"/>
      </w:pPr>
    </w:p>
    <w:p>
      <w:pPr>
        <w:jc w:val="center"/>
      </w:pPr>
      <w:r>
        <w:drawing>
          <wp:inline distT="0" distB="0" distL="114300" distR="114300">
            <wp:extent cx="4572000" cy="2743200"/>
            <wp:effectExtent l="4445" t="4445" r="14605" b="14605"/>
            <wp:docPr id="46"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center"/>
      </w:pPr>
      <w:r>
        <w:rPr>
          <w:rFonts w:hint="eastAsia" w:asciiTheme="minorEastAsia" w:hAnsiTheme="minorEastAsia" w:eastAsiaTheme="minorEastAsia" w:cstheme="minorEastAsia"/>
          <w:b/>
          <w:bCs/>
          <w:sz w:val="20"/>
          <w:szCs w:val="20"/>
          <w:lang w:eastAsia="zh-CN"/>
        </w:rPr>
        <w:t>图表</w:t>
      </w:r>
      <w:r>
        <w:rPr>
          <w:rFonts w:hint="eastAsia" w:asciiTheme="minorEastAsia" w:hAnsiTheme="minorEastAsia" w:eastAsiaTheme="minorEastAsia" w:cstheme="minorEastAsia"/>
          <w:b/>
          <w:bCs/>
          <w:sz w:val="20"/>
          <w:szCs w:val="20"/>
          <w:lang w:val="en-US" w:eastAsia="zh-CN"/>
        </w:rPr>
        <w:t>4-6  2021年四川省演出票房收入占西部地区份额（不含旅游演艺）</w:t>
      </w:r>
    </w:p>
    <w:p>
      <w:pPr>
        <w:pStyle w:val="17"/>
      </w:pPr>
    </w:p>
    <w:p>
      <w:pPr>
        <w:pStyle w:val="17"/>
      </w:pPr>
    </w:p>
    <w:p>
      <w:pPr>
        <w:pStyle w:val="17"/>
      </w:pPr>
    </w:p>
    <w:p>
      <w:pPr>
        <w:jc w:val="center"/>
        <w:rPr>
          <w:rFonts w:hint="eastAsia"/>
          <w:lang w:val="en-US" w:eastAsia="zh-CN"/>
        </w:rPr>
      </w:pPr>
      <w:r>
        <w:drawing>
          <wp:inline distT="0" distB="0" distL="114300" distR="114300">
            <wp:extent cx="4572000" cy="2743200"/>
            <wp:effectExtent l="4445" t="4445" r="14605" b="14605"/>
            <wp:docPr id="47"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center"/>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eastAsia="zh-CN"/>
        </w:rPr>
        <w:t>图表</w:t>
      </w:r>
      <w:r>
        <w:rPr>
          <w:rFonts w:hint="eastAsia" w:asciiTheme="minorEastAsia" w:hAnsiTheme="minorEastAsia" w:eastAsiaTheme="minorEastAsia" w:cstheme="minorEastAsia"/>
          <w:b/>
          <w:bCs/>
          <w:sz w:val="20"/>
          <w:szCs w:val="20"/>
          <w:lang w:val="en-US" w:eastAsia="zh-CN"/>
        </w:rPr>
        <w:t>4-7  2021年四川省演出观演人次占西部地区份额（不含旅游演艺）</w:t>
      </w:r>
    </w:p>
    <w:p>
      <w:pPr>
        <w:rPr>
          <w:rFonts w:hint="eastAsia" w:ascii="仿宋_GB2312" w:hAnsi="仿宋_GB2312" w:eastAsia="仿宋_GB2312" w:cs="仿宋_GB2312"/>
          <w:b w:val="0"/>
          <w:bCs w:val="0"/>
          <w:i w:val="0"/>
          <w:iCs w:val="0"/>
          <w:color w:val="auto"/>
          <w:sz w:val="32"/>
          <w:szCs w:val="32"/>
          <w:lang w:val="en-US" w:eastAsia="zh-CN"/>
        </w:rPr>
      </w:pPr>
    </w:p>
    <w:p>
      <w:pPr>
        <w:ind w:firstLine="640" w:firstLineChars="200"/>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纵观2021年，话剧和逐渐商业化、市场化的舞剧仍然是最受欢迎的演出类型。整个2021年，就有热门话剧舞剧《如梦之梦》《白鹿原》《恋爱的犀牛》《永不消逝的电波》《天鹅湖》《朱鹮》及多部开心麻花出品的戏剧作品来到四川；音乐剧《献给阿尔吉侬的花束》《赵氏孤儿》也是创造票房纪录的明星剧目；小剧场、新空间项目《桑塔露琪亚》《阿波罗尼亚》《芳心之醉》在成都也是场场爆满；戏曲方面，四川成都仍然挤进2021城市戏曲演出场次、票房综合排序前十的直辖市、省会及计划单列市。</w:t>
      </w:r>
    </w:p>
    <w:p>
      <w:pPr>
        <w:ind w:firstLine="640" w:firstLineChars="200"/>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在如此活跃的演出市场背景下，演出票务公司在演出行业链条中作为中间介质连接着内容制作方（演出方）和观众两个主体，与演出市场休戚相关。另外，2021年8月，文化和旅游部颁布并实施了国内首个演出票务领域行业标准《演出票务服务及技术规范》，专家们普遍认为该标准的施行将进一步完善演出票务管理，推进演出领域的积极进程。</w:t>
      </w:r>
    </w:p>
    <w:p>
      <w:pPr>
        <w:rPr>
          <w:rFonts w:hint="eastAsia" w:ascii="仿宋_GB2312" w:hAnsi="仿宋_GB2312" w:eastAsia="仿宋_GB2312" w:cs="仿宋_GB2312"/>
          <w:b w:val="0"/>
          <w:bCs w:val="0"/>
          <w:i w:val="0"/>
          <w:iCs w:val="0"/>
          <w:color w:val="auto"/>
          <w:sz w:val="32"/>
          <w:szCs w:val="32"/>
          <w:lang w:val="en-US" w:eastAsia="zh-CN"/>
        </w:rPr>
      </w:pP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3714115</wp:posOffset>
                </wp:positionH>
                <wp:positionV relativeFrom="paragraph">
                  <wp:posOffset>135890</wp:posOffset>
                </wp:positionV>
                <wp:extent cx="1005840" cy="273685"/>
                <wp:effectExtent l="0" t="0" r="3810" b="12065"/>
                <wp:wrapNone/>
                <wp:docPr id="14" name="文本框 14"/>
                <wp:cNvGraphicFramePr/>
                <a:graphic xmlns:a="http://schemas.openxmlformats.org/drawingml/2006/main">
                  <a:graphicData uri="http://schemas.microsoft.com/office/word/2010/wordprocessingShape">
                    <wps:wsp>
                      <wps:cNvSpPr txBox="1"/>
                      <wps:spPr>
                        <a:xfrm>
                          <a:off x="0" y="0"/>
                          <a:ext cx="1005840" cy="273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完成销售任务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45pt;margin-top:10.7pt;height:21.55pt;width:79.2pt;z-index:251665408;mso-width-relative:page;mso-height-relative:page;" fillcolor="#FFFFFF [3201]" filled="t" stroked="f" coordsize="21600,21600" o:gfxdata="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OCa1qzVAAAACQEAAA8AAAAAAAAAAQAgAAAAOAAAAGRycy9kb3ducmV2LnhtbFBLAQIUABQA&#10;AAAIAIdO4kBLkZ8tTwIAAJEEAAAOAAAAAAAAAAEAIAAAADoBAABkcnMvZTJvRG9jLnhtbFBLBQYA&#10;AAAABgAGAFkBAAD7BQAAAAA=&#10;">
                <v:fill on="t"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完成销售任务</w:t>
                      </w:r>
                    </w:p>
                  </w:txbxContent>
                </v:textbox>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2039620</wp:posOffset>
                </wp:positionH>
                <wp:positionV relativeFrom="paragraph">
                  <wp:posOffset>132715</wp:posOffset>
                </wp:positionV>
                <wp:extent cx="1005840" cy="273685"/>
                <wp:effectExtent l="0" t="0" r="3810" b="12065"/>
                <wp:wrapNone/>
                <wp:docPr id="15" name="文本框 15"/>
                <wp:cNvGraphicFramePr/>
                <a:graphic xmlns:a="http://schemas.openxmlformats.org/drawingml/2006/main">
                  <a:graphicData uri="http://schemas.microsoft.com/office/word/2010/wordprocessingShape">
                    <wps:wsp>
                      <wps:cNvSpPr txBox="1"/>
                      <wps:spPr>
                        <a:xfrm>
                          <a:off x="1531620" y="2126615"/>
                          <a:ext cx="1005840" cy="273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宣传和推广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6pt;margin-top:10.45pt;height:21.55pt;width:79.2pt;z-index:251664384;mso-width-relative:page;mso-height-relative:page;" fillcolor="#FFFFFF [3201]" filled="t" stroked="f" coordsize="21600,21600" o:gfxdata="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KDFw4DVAAAACQEAAA8AAAAAAAAAAQAgAAAAOAAAAGRycy9kb3ducmV2&#10;LnhtbFBLAQIUABQAAAAIAIdO4kDYyrOZWwIAAJ0EAAAOAAAAAAAAAAEAIAAAADoBAABkcnMvZTJv&#10;RG9jLnhtbFBLBQYAAAAABgAGAFkBAAAHBgAAAAA=&#10;">
                <v:fill on="t"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宣传和推广</w:t>
                      </w:r>
                    </w:p>
                  </w:txbxContent>
                </v:textbox>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499110</wp:posOffset>
                </wp:positionH>
                <wp:positionV relativeFrom="paragraph">
                  <wp:posOffset>147320</wp:posOffset>
                </wp:positionV>
                <wp:extent cx="1005840" cy="273685"/>
                <wp:effectExtent l="0" t="0" r="3810" b="12065"/>
                <wp:wrapNone/>
                <wp:docPr id="17" name="文本框 17"/>
                <wp:cNvGraphicFramePr/>
                <a:graphic xmlns:a="http://schemas.openxmlformats.org/drawingml/2006/main">
                  <a:graphicData uri="http://schemas.microsoft.com/office/word/2010/wordprocessingShape">
                    <wps:wsp>
                      <wps:cNvSpPr txBox="1"/>
                      <wps:spPr>
                        <a:xfrm>
                          <a:off x="1531620" y="2126615"/>
                          <a:ext cx="1005840" cy="273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接洽演出项目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pt;margin-top:11.6pt;height:21.55pt;width:79.2pt;z-index:251663360;mso-width-relative:page;mso-height-relative:page;" fillcolor="#FFFFFF [3201]" filled="t" stroked="f" coordsize="21600,21600" o:gfxdata="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4BFX99QAAAAIAQAADwAAAAAAAAABACAAAAA4AAAAZHJzL2Rvd25yZXYu&#10;eG1sUEsBAhQAFAAAAAgAh07iQA6GPZRbAgAAnQQAAA4AAAAAAAAAAQAgAAAAOQEAAGRycy9lMm9E&#10;b2MueG1sUEsFBgAAAAAGAAYAWQEAAAYGAAAAAA==&#10;">
                <v:fill on="t"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接洽演出项目</w:t>
                      </w:r>
                    </w:p>
                  </w:txbxContent>
                </v:textbox>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6432" behindDoc="0" locked="0" layoutInCell="1" allowOverlap="1">
                <wp:simplePos x="0" y="0"/>
                <wp:positionH relativeFrom="column">
                  <wp:posOffset>1648460</wp:posOffset>
                </wp:positionH>
                <wp:positionV relativeFrom="paragraph">
                  <wp:posOffset>212725</wp:posOffset>
                </wp:positionV>
                <wp:extent cx="243205" cy="158750"/>
                <wp:effectExtent l="6350" t="15240" r="17145" b="16510"/>
                <wp:wrapNone/>
                <wp:docPr id="16" name="右箭头 16"/>
                <wp:cNvGraphicFramePr/>
                <a:graphic xmlns:a="http://schemas.openxmlformats.org/drawingml/2006/main">
                  <a:graphicData uri="http://schemas.microsoft.com/office/word/2010/wordprocessingShape">
                    <wps:wsp>
                      <wps:cNvSpPr/>
                      <wps:spPr>
                        <a:xfrm>
                          <a:off x="2706370" y="2158365"/>
                          <a:ext cx="243205" cy="1587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9.8pt;margin-top:16.75pt;height:12.5pt;width:19.15pt;z-index:251666432;v-text-anchor:middle;mso-width-relative:page;mso-height-relative:page;" fillcolor="#000000 [3213]" filled="t" stroked="t" coordsize="21600,21600" o:gfxdata="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Hoz&#10;E7LZAAAACQEAAA8AAAAAAAAAAQAgAAAAOAAAAGRycy9kb3ducmV2LnhtbFBLAQIUABQAAAAIAIdO&#10;4kDWADCGfgIAAAoFAAAOAAAAAAAAAAEAIAAAAD4BAABkcnMvZTJvRG9jLnhtbFBLBQYAAAAABgAG&#10;AFkBAAAuBgAAAAA=&#10;" adj="14551,5400">
                <v:fill on="t" focussize="0,0"/>
                <v:stroke weight="1pt" color="#000000 [3213]" miterlimit="8" joinstyle="miter"/>
                <v:imagedata o:title=""/>
                <o:lock v:ext="edit" aspectratio="f"/>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3632835</wp:posOffset>
                </wp:positionH>
                <wp:positionV relativeFrom="paragraph">
                  <wp:posOffset>93980</wp:posOffset>
                </wp:positionV>
                <wp:extent cx="1184275" cy="370840"/>
                <wp:effectExtent l="6350" t="6350" r="9525" b="22860"/>
                <wp:wrapSquare wrapText="bothSides"/>
                <wp:docPr id="21" name="圆角矩形 21"/>
                <wp:cNvGraphicFramePr/>
                <a:graphic xmlns:a="http://schemas.openxmlformats.org/drawingml/2006/main">
                  <a:graphicData uri="http://schemas.microsoft.com/office/word/2010/wordprocessingShape">
                    <wps:wsp>
                      <wps:cNvSpPr/>
                      <wps:spPr>
                        <a:xfrm>
                          <a:off x="1404620" y="1936115"/>
                          <a:ext cx="1184275" cy="370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6.05pt;margin-top:7.4pt;height:29.2pt;width:93.25pt;mso-wrap-distance-bottom:0pt;mso-wrap-distance-left:9pt;mso-wrap-distance-right:9pt;mso-wrap-distance-top:0pt;z-index:251662336;v-text-anchor:middle;mso-width-relative:page;mso-height-relative:page;" filled="f" stroked="t" coordsize="21600,21600" arcsize="0.166666666666667" o:gfxdata="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Dmm3pbXAAAACQEAAA8AAAAAAAAAAQAgAAAAOAAAAGRycy9kb3ducmV2LnhtbFBLAQIUABQA&#10;AAAIAIdO4kCFryGohgIAAOQEAAAOAAAAAAAAAAEAIAAAADwBAABkcnMvZTJvRG9jLnhtbFBLBQYA&#10;AAAABgAGAFkBAAA0BgAAAAA=&#10;">
                <v:fill on="f" focussize="0,0"/>
                <v:stroke weight="1pt" color="#000000 [3213]" miterlimit="8" joinstyle="miter"/>
                <v:imagedata o:title=""/>
                <o:lock v:ext="edit" aspectratio="f"/>
                <w10:wrap type="square"/>
              </v:roundrect>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1956435</wp:posOffset>
                </wp:positionH>
                <wp:positionV relativeFrom="paragraph">
                  <wp:posOffset>84455</wp:posOffset>
                </wp:positionV>
                <wp:extent cx="1184275" cy="370840"/>
                <wp:effectExtent l="6350" t="6350" r="9525" b="22860"/>
                <wp:wrapSquare wrapText="bothSides"/>
                <wp:docPr id="20" name="圆角矩形 20"/>
                <wp:cNvGraphicFramePr/>
                <a:graphic xmlns:a="http://schemas.openxmlformats.org/drawingml/2006/main">
                  <a:graphicData uri="http://schemas.microsoft.com/office/word/2010/wordprocessingShape">
                    <wps:wsp>
                      <wps:cNvSpPr/>
                      <wps:spPr>
                        <a:xfrm>
                          <a:off x="1404620" y="1936115"/>
                          <a:ext cx="1184275" cy="370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4.05pt;margin-top:6.65pt;height:29.2pt;width:93.25pt;mso-wrap-distance-bottom:0pt;mso-wrap-distance-left:9pt;mso-wrap-distance-right:9pt;mso-wrap-distance-top:0pt;z-index:251662336;v-text-anchor:middle;mso-width-relative:page;mso-height-relative:page;" filled="f" stroked="t" coordsize="21600,21600" arcsize="0.166666666666667" o:gfxdata="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Lp5SfNcAAAAJAQAADwAAAAAAAAABACAAAAA4AAAAZHJzL2Rvd25yZXYueG1sUEsBAhQAFAAA&#10;AAgAh07iQFEYNyuFAgAA5AQAAA4AAAAAAAAAAQAgAAAAPAEAAGRycy9lMm9Eb2MueG1sUEsFBgAA&#10;AAAGAAYAWQEAADMGAAAAAA==&#10;">
                <v:fill on="f" focussize="0,0"/>
                <v:stroke weight="1pt" color="#000000 [3213]" miterlimit="8" joinstyle="miter"/>
                <v:imagedata o:title=""/>
                <o:lock v:ext="edit" aspectratio="f"/>
                <w10:wrap type="square"/>
              </v:roundrect>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7456" behindDoc="0" locked="0" layoutInCell="1" allowOverlap="1">
                <wp:simplePos x="0" y="0"/>
                <wp:positionH relativeFrom="column">
                  <wp:posOffset>3237865</wp:posOffset>
                </wp:positionH>
                <wp:positionV relativeFrom="paragraph">
                  <wp:posOffset>196215</wp:posOffset>
                </wp:positionV>
                <wp:extent cx="243205" cy="158750"/>
                <wp:effectExtent l="6350" t="15240" r="17145" b="16510"/>
                <wp:wrapNone/>
                <wp:docPr id="13" name="右箭头 13"/>
                <wp:cNvGraphicFramePr/>
                <a:graphic xmlns:a="http://schemas.openxmlformats.org/drawingml/2006/main">
                  <a:graphicData uri="http://schemas.microsoft.com/office/word/2010/wordprocessingShape">
                    <wps:wsp>
                      <wps:cNvSpPr/>
                      <wps:spPr>
                        <a:xfrm>
                          <a:off x="0" y="0"/>
                          <a:ext cx="243205" cy="1587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4.95pt;margin-top:15.45pt;height:12.5pt;width:19.15pt;z-index:251667456;v-text-anchor:middle;mso-width-relative:page;mso-height-relative:page;" fillcolor="#000000 [3213]" filled="t" stroked="t" coordsize="21600,21600" o:gfxdata="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G9tVWPXAAAACQEAAA8A&#10;AAAAAAAAAQAgAAAAOAAAAGRycy9kb3ducmV2LnhtbFBLAQIUABQAAAAIAIdO4kCrUyKRdAIAAP4E&#10;AAAOAAAAAAAAAAEAIAAAADwBAABkcnMvZTJvRG9jLnhtbFBLBQYAAAAABgAGAFkBAAAiBgAAAAA=&#10;" adj="14551,5400">
                <v:fill on="t" focussize="0,0"/>
                <v:stroke weight="1pt" color="#000000 [3213]" miterlimit="8" joinstyle="miter"/>
                <v:imagedata o:title=""/>
                <o:lock v:ext="edit" aspectratio="f"/>
              </v:shape>
            </w:pict>
          </mc:Fallback>
        </mc:AlternateContent>
      </w:r>
      <w:r>
        <w:rPr>
          <w:rFonts w:hint="eastAsia" w:ascii="仿宋_GB2312" w:hAnsi="仿宋_GB2312" w:eastAsia="仿宋_GB2312" w:cs="仿宋_GB2312"/>
          <w:color w:val="auto"/>
          <w:sz w:val="32"/>
          <w:szCs w:val="32"/>
        </w:rPr>
        <mc:AlternateContent>
          <mc:Choice Requires="wps">
            <w:drawing>
              <wp:inline distT="0" distB="0" distL="114300" distR="114300">
                <wp:extent cx="1184275" cy="370840"/>
                <wp:effectExtent l="6350" t="6350" r="9525" b="22860"/>
                <wp:docPr id="18" name="圆角矩形 18"/>
                <wp:cNvGraphicFramePr/>
                <a:graphic xmlns:a="http://schemas.openxmlformats.org/drawingml/2006/main">
                  <a:graphicData uri="http://schemas.microsoft.com/office/word/2010/wordprocessingShape">
                    <wps:wsp>
                      <wps:cNvSpPr/>
                      <wps:spPr>
                        <a:xfrm>
                          <a:off x="1404620" y="1936115"/>
                          <a:ext cx="1184275" cy="370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29.2pt;width:93.25pt;v-text-anchor:middle;" filled="f" stroked="t" coordsize="21600,21600" arcsize="0.166666666666667" o:gfxdata="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CRw&#10;YVfSAAAABAEAAA8AAAAAAAAAAQAgAAAAOAAAAGRycy9kb3ducmV2LnhtbFBLAQIUABQAAAAIAIdO&#10;4kC4tZKwhQIAAOQEAAAOAAAAAAAAAAEAIAAAADcBAABkcnMvZTJvRG9jLnhtbFBLBQYAAAAABgAG&#10;AFkBAAAuBgAAAAA=&#10;">
                <v:fill on="f" focussize="0,0"/>
                <v:stroke weight="1pt" color="#000000 [3213]" miterlimit="8" joinstyle="miter"/>
                <v:imagedata o:title=""/>
                <o:lock v:ext="edit" aspectratio="f"/>
                <w10:wrap type="none"/>
                <w10:anchorlock/>
              </v:roundrect>
            </w:pict>
          </mc:Fallback>
        </mc:AlternateContent>
      </w:r>
      <w:r>
        <w:rPr>
          <w:rFonts w:hint="eastAsia" w:ascii="仿宋_GB2312" w:hAnsi="仿宋_GB2312" w:eastAsia="仿宋_GB2312" w:cs="仿宋_GB2312"/>
          <w:color w:val="auto"/>
          <w:sz w:val="32"/>
          <w:szCs w:val="32"/>
          <w:lang w:val="en-US" w:eastAsia="zh-CN"/>
        </w:rPr>
        <w:t xml:space="preserve">              </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70528" behindDoc="0" locked="0" layoutInCell="1" allowOverlap="1">
                <wp:simplePos x="0" y="0"/>
                <wp:positionH relativeFrom="column">
                  <wp:posOffset>3194685</wp:posOffset>
                </wp:positionH>
                <wp:positionV relativeFrom="paragraph">
                  <wp:posOffset>136525</wp:posOffset>
                </wp:positionV>
                <wp:extent cx="1005840" cy="273685"/>
                <wp:effectExtent l="0" t="0" r="3810" b="12065"/>
                <wp:wrapSquare wrapText="bothSides"/>
                <wp:docPr id="23" name="文本框 23"/>
                <wp:cNvGraphicFramePr/>
                <a:graphic xmlns:a="http://schemas.openxmlformats.org/drawingml/2006/main">
                  <a:graphicData uri="http://schemas.microsoft.com/office/word/2010/wordprocessingShape">
                    <wps:wsp>
                      <wps:cNvSpPr txBox="1"/>
                      <wps:spPr>
                        <a:xfrm>
                          <a:off x="0" y="0"/>
                          <a:ext cx="1005840" cy="273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售后服务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5pt;margin-top:10.75pt;height:21.55pt;width:79.2pt;mso-wrap-distance-bottom:0pt;mso-wrap-distance-left:9pt;mso-wrap-distance-right:9pt;mso-wrap-distance-top:0pt;z-index:251670528;mso-width-relative:page;mso-height-relative:page;" fillcolor="#FFFFFF [3201]" filled="t" stroked="f" coordsize="21600,21600" o:gfxdata="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Ez+M8HUAAAACQEAAA8AAAAAAAAAAQAgAAAAOAAAAGRycy9kb3ducmV2LnhtbFBLAQIUABQA&#10;AAAIAIdO4kCr7KGjUAIAAJEEAAAOAAAAAAAAAAEAIAAAADkBAABkcnMvZTJvRG9jLnhtbFBLBQYA&#10;AAAABgAGAFkBAAD7BQAAAAA=&#10;">
                <v:fill on="t"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售后服务</w:t>
                      </w:r>
                    </w:p>
                  </w:txbxContent>
                </v:textbox>
                <w10:wrap type="square"/>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9504" behindDoc="0" locked="0" layoutInCell="1" allowOverlap="1">
                <wp:simplePos x="0" y="0"/>
                <wp:positionH relativeFrom="column">
                  <wp:posOffset>1466215</wp:posOffset>
                </wp:positionH>
                <wp:positionV relativeFrom="paragraph">
                  <wp:posOffset>141605</wp:posOffset>
                </wp:positionV>
                <wp:extent cx="1005840" cy="273685"/>
                <wp:effectExtent l="0" t="0" r="3810" b="12065"/>
                <wp:wrapNone/>
                <wp:docPr id="22" name="文本框 22"/>
                <wp:cNvGraphicFramePr/>
                <a:graphic xmlns:a="http://schemas.openxmlformats.org/drawingml/2006/main">
                  <a:graphicData uri="http://schemas.microsoft.com/office/word/2010/wordprocessingShape">
                    <wps:wsp>
                      <wps:cNvSpPr txBox="1"/>
                      <wps:spPr>
                        <a:xfrm>
                          <a:off x="0" y="0"/>
                          <a:ext cx="1005840" cy="273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处理客户订单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11.15pt;height:21.55pt;width:79.2pt;z-index:251669504;mso-width-relative:page;mso-height-relative:page;" fillcolor="#FFFFFF [3201]" filled="t" stroked="f" coordsize="21600,21600" o:gfxdata="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Q5Vbw1QAAAAkBAAAPAAAAAAAAAAEAIAAAADgAAABkcnMvZG93bnJldi54bWxQSwECFAAU&#10;AAAACACHTuJA/q5qmFACAACRBAAADgAAAAAAAAABACAAAAA6AQAAZHJzL2Uyb0RvYy54bWxQSwUG&#10;AAAAAAYABgBZAQAA/AUAAAAA&#10;">
                <v:fill on="t"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处理客户订单</w:t>
                      </w:r>
                    </w:p>
                  </w:txbxContent>
                </v:textbox>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3114675</wp:posOffset>
                </wp:positionH>
                <wp:positionV relativeFrom="paragraph">
                  <wp:posOffset>93980</wp:posOffset>
                </wp:positionV>
                <wp:extent cx="1184275" cy="370840"/>
                <wp:effectExtent l="6350" t="6350" r="9525" b="22860"/>
                <wp:wrapSquare wrapText="bothSides"/>
                <wp:docPr id="27" name="圆角矩形 27"/>
                <wp:cNvGraphicFramePr/>
                <a:graphic xmlns:a="http://schemas.openxmlformats.org/drawingml/2006/main">
                  <a:graphicData uri="http://schemas.microsoft.com/office/word/2010/wordprocessingShape">
                    <wps:wsp>
                      <wps:cNvSpPr/>
                      <wps:spPr>
                        <a:xfrm>
                          <a:off x="1404620" y="1936115"/>
                          <a:ext cx="1184275" cy="370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5.25pt;margin-top:7.4pt;height:29.2pt;width:93.25pt;mso-wrap-distance-bottom:0pt;mso-wrap-distance-left:9pt;mso-wrap-distance-right:9pt;mso-wrap-distance-top:0pt;z-index:251662336;v-text-anchor:middle;mso-width-relative:page;mso-height-relative:page;" filled="f" stroked="t" coordsize="21600,21600" arcsize="0.166666666666667" o:gfxdata="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WAAAAZHJzL1BLAQIU&#10;ABQAAAAIAIdO4kAAgqAX1wAAAAkBAAAPAAAAAAAAAAEAIAAAADgAAABkcnMvZG93bnJldi54bWxQ&#10;SwECFAAUAAAACACHTuJAlLXwv40CAADvBAAADgAAAAAAAAABACAAAAA8AQAAZHJzL2Uyb0RvYy54&#10;bWxQSwUGAAAAAAYABgBZAQAAOwYAAAAA&#10;">
                <v:fill on="f" focussize="0,0"/>
                <v:stroke weight="1pt" color="#000000 [3213]"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w10:wrap type="square"/>
              </v:roundrect>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1381125</wp:posOffset>
                </wp:positionH>
                <wp:positionV relativeFrom="paragraph">
                  <wp:posOffset>103505</wp:posOffset>
                </wp:positionV>
                <wp:extent cx="1184275" cy="370840"/>
                <wp:effectExtent l="6350" t="6350" r="9525" b="22860"/>
                <wp:wrapSquare wrapText="bothSides"/>
                <wp:docPr id="26" name="圆角矩形 26"/>
                <wp:cNvGraphicFramePr/>
                <a:graphic xmlns:a="http://schemas.openxmlformats.org/drawingml/2006/main">
                  <a:graphicData uri="http://schemas.microsoft.com/office/word/2010/wordprocessingShape">
                    <wps:wsp>
                      <wps:cNvSpPr/>
                      <wps:spPr>
                        <a:xfrm>
                          <a:off x="1404620" y="1936115"/>
                          <a:ext cx="1184275" cy="370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8.75pt;margin-top:8.15pt;height:29.2pt;width:93.25pt;mso-wrap-distance-bottom:0pt;mso-wrap-distance-left:9pt;mso-wrap-distance-right:9pt;mso-wrap-distance-top:0pt;z-index:251662336;v-text-anchor:middle;mso-width-relative:page;mso-height-relative:page;" filled="f" stroked="t" coordsize="21600,21600" arcsize="0.166666666666667" o:gfxdata="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b7sPttYAAAAJAQAADwAAAAAAAAABACAAAAA4AAAAZHJzL2Rvd25yZXYueG1sUEsBAhQAFAAA&#10;AAgAh07iQCukopeGAgAA5AQAAA4AAAAAAAAAAQAgAAAAOwEAAGRycy9lMm9Eb2MueG1sUEsFBgAA&#10;AAAGAAYAWQEAADMGAAAAAA==&#10;">
                <v:fill on="f" focussize="0,0"/>
                <v:stroke weight="1pt" color="#000000 [3213]" miterlimit="8" joinstyle="miter"/>
                <v:imagedata o:title=""/>
                <o:lock v:ext="edit" aspectratio="f"/>
                <w10:wrap type="square"/>
              </v:roundrect>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979170</wp:posOffset>
                </wp:positionH>
                <wp:positionV relativeFrom="paragraph">
                  <wp:posOffset>187325</wp:posOffset>
                </wp:positionV>
                <wp:extent cx="243205" cy="158750"/>
                <wp:effectExtent l="6350" t="15240" r="17145" b="16510"/>
                <wp:wrapNone/>
                <wp:docPr id="24" name="右箭头 24"/>
                <wp:cNvGraphicFramePr/>
                <a:graphic xmlns:a="http://schemas.openxmlformats.org/drawingml/2006/main">
                  <a:graphicData uri="http://schemas.microsoft.com/office/word/2010/wordprocessingShape">
                    <wps:wsp>
                      <wps:cNvSpPr/>
                      <wps:spPr>
                        <a:xfrm>
                          <a:off x="0" y="0"/>
                          <a:ext cx="243205" cy="1587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7.1pt;margin-top:14.75pt;height:12.5pt;width:19.15pt;z-index:251668480;v-text-anchor:middle;mso-width-relative:page;mso-height-relative:page;" fillcolor="#000000 [3213]" filled="t" stroked="t" coordsize="21600,21600" o:gfxdata="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PPJCkXXAAAACQEAAA8A&#10;AAAAAAAAAQAgAAAAOAAAAGRycy9kb3ducmV2LnhtbFBLAQIUABQAAAAIAIdO4kA9rRcpdAIAAP4E&#10;AAAOAAAAAAAAAAEAIAAAADwBAABkcnMvZTJvRG9jLnhtbFBLBQYAAAAABgAGAFkBAAAiBgAAAAA=&#10;" adj="14551,5400">
                <v:fill on="t" focussize="0,0"/>
                <v:stroke weight="1pt" color="#000000 [3213]" miterlimit="8" joinstyle="miter"/>
                <v:imagedata o:title=""/>
                <o:lock v:ext="edit" aspectratio="f"/>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71552" behindDoc="0" locked="0" layoutInCell="1" allowOverlap="1">
                <wp:simplePos x="0" y="0"/>
                <wp:positionH relativeFrom="column">
                  <wp:posOffset>2656840</wp:posOffset>
                </wp:positionH>
                <wp:positionV relativeFrom="paragraph">
                  <wp:posOffset>183515</wp:posOffset>
                </wp:positionV>
                <wp:extent cx="243205" cy="158750"/>
                <wp:effectExtent l="6350" t="15240" r="17145" b="16510"/>
                <wp:wrapNone/>
                <wp:docPr id="25" name="右箭头 25"/>
                <wp:cNvGraphicFramePr/>
                <a:graphic xmlns:a="http://schemas.openxmlformats.org/drawingml/2006/main">
                  <a:graphicData uri="http://schemas.microsoft.com/office/word/2010/wordprocessingShape">
                    <wps:wsp>
                      <wps:cNvSpPr/>
                      <wps:spPr>
                        <a:xfrm>
                          <a:off x="0" y="0"/>
                          <a:ext cx="243205" cy="1587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9.2pt;margin-top:14.45pt;height:12.5pt;width:19.15pt;z-index:251671552;v-text-anchor:middle;mso-width-relative:page;mso-height-relative:page;" fillcolor="#000000 [3213]" filled="t" stroked="t" coordsize="21600,21600" o:gfxdata="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Kmof1PYAAAACQEAAA8A&#10;AAAAAAAAAQAgAAAAOAAAAGRycy9kb3ducmV2LnhtbFBLAQIUABQAAAAIAIdO4kBFSCv4cwIAAP4E&#10;AAAOAAAAAAAAAAEAIAAAAD0BAABkcnMvZTJvRG9jLnhtbFBLBQYAAAAABgAGAFkBAAAiBgAAAAA=&#10;" adj="14551,5400">
                <v:fill on="t" focussize="0,0"/>
                <v:stroke weight="1pt" color="#000000 [3213]" miterlimit="8" joinstyle="miter"/>
                <v:imagedata o:title=""/>
                <o:lock v:ext="edit" aspectratio="f"/>
              </v:shape>
            </w:pict>
          </mc:Fallback>
        </mc:AlternateContent>
      </w:r>
      <w:r>
        <w:rPr>
          <w:rFonts w:hint="eastAsia" w:ascii="仿宋_GB2312" w:hAnsi="仿宋_GB2312" w:eastAsia="仿宋_GB2312" w:cs="仿宋_GB2312"/>
          <w:color w:val="auto"/>
          <w:sz w:val="32"/>
          <w:szCs w:val="32"/>
          <w:lang w:val="en-US" w:eastAsia="zh-CN"/>
        </w:rPr>
        <w:t xml:space="preserve">                        </w:t>
      </w:r>
    </w:p>
    <w:p>
      <w:pPr>
        <w:ind w:firstLine="640" w:firstLineChars="200"/>
        <w:jc w:val="center"/>
        <w:rPr>
          <w:rFonts w:hint="eastAsia" w:ascii="仿宋_GB2312" w:hAnsi="仿宋_GB2312" w:eastAsia="仿宋_GB2312" w:cs="仿宋_GB2312"/>
          <w:color w:val="auto"/>
          <w:sz w:val="32"/>
          <w:szCs w:val="32"/>
          <w:lang w:val="en-US" w:eastAsia="zh-CN"/>
        </w:rPr>
      </w:pPr>
    </w:p>
    <w:p>
      <w:pPr>
        <w:ind w:firstLine="400" w:firstLineChars="200"/>
        <w:jc w:val="center"/>
        <w:rPr>
          <w:rFonts w:hint="eastAsia" w:ascii="宋体" w:hAnsi="宋体" w:eastAsia="宋体" w:cs="宋体"/>
          <w:b/>
          <w:bCs/>
          <w:color w:val="auto"/>
          <w:sz w:val="20"/>
          <w:szCs w:val="20"/>
          <w:lang w:val="en-US" w:eastAsia="zh-CN"/>
        </w:rPr>
      </w:pPr>
      <w:r>
        <w:rPr>
          <w:rFonts w:hint="eastAsia" w:ascii="宋体" w:hAnsi="宋体" w:eastAsia="宋体" w:cs="宋体"/>
          <w:b/>
          <w:bCs/>
          <w:color w:val="auto"/>
          <w:sz w:val="20"/>
          <w:szCs w:val="20"/>
          <w:lang w:val="en-US" w:eastAsia="zh-CN"/>
        </w:rPr>
        <w:t>图表4-</w:t>
      </w:r>
      <w:r>
        <w:rPr>
          <w:rFonts w:hint="eastAsia" w:ascii="宋体" w:hAnsi="宋体" w:cs="宋体"/>
          <w:b/>
          <w:bCs/>
          <w:color w:val="auto"/>
          <w:sz w:val="20"/>
          <w:szCs w:val="20"/>
          <w:lang w:val="en-US" w:eastAsia="zh-CN"/>
        </w:rPr>
        <w:t xml:space="preserve">8  </w:t>
      </w:r>
      <w:r>
        <w:rPr>
          <w:rFonts w:hint="eastAsia" w:ascii="宋体" w:hAnsi="宋体" w:eastAsia="宋体" w:cs="宋体"/>
          <w:b/>
          <w:bCs/>
          <w:color w:val="auto"/>
          <w:sz w:val="20"/>
          <w:szCs w:val="20"/>
          <w:lang w:val="en-US" w:eastAsia="zh-CN"/>
        </w:rPr>
        <w:t>演出票务活动模型</w:t>
      </w:r>
    </w:p>
    <w:p>
      <w:pPr>
        <w:ind w:firstLine="640" w:firstLineChars="200"/>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黑体" w:hAnsi="黑体" w:eastAsia="黑体" w:cs="黑体"/>
          <w:b w:val="0"/>
          <w:bCs w:val="0"/>
          <w:i w:val="0"/>
          <w:iCs w:val="0"/>
          <w:color w:val="auto"/>
          <w:sz w:val="32"/>
          <w:szCs w:val="32"/>
          <w:lang w:val="en-US" w:eastAsia="zh-CN"/>
        </w:rPr>
      </w:pPr>
      <w:r>
        <w:rPr>
          <w:rFonts w:hint="eastAsia" w:ascii="黑体" w:hAnsi="黑体" w:eastAsia="黑体" w:cs="黑体"/>
          <w:b w:val="0"/>
          <w:bCs w:val="0"/>
          <w:i w:val="0"/>
          <w:iCs w:val="0"/>
          <w:color w:val="auto"/>
          <w:sz w:val="32"/>
          <w:szCs w:val="32"/>
          <w:lang w:val="en-US" w:eastAsia="zh-CN"/>
        </w:rPr>
        <w:t>二、四川省主要票务公司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bCs/>
          <w:i w:val="0"/>
          <w:iCs w:val="0"/>
          <w:color w:val="auto"/>
          <w:sz w:val="32"/>
          <w:szCs w:val="32"/>
          <w:lang w:val="en-US" w:eastAsia="zh-CN"/>
        </w:rPr>
        <w:t>（一）大麦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作为中国最大的在线票务平台，大麦网在全球有50多家分公司，占据中国娱乐票务市场份额的60%，在四川拥有上千万注册用户，庞大的用户基数造就了其销售能力、售票率均高于同类售票平台。2021年，大麦票房前十的音乐节有4个曾落地成都，这与四川省本身就处在旅游演艺和户外音乐节活跃的西部地区分不开，各大音乐节均选择与大麦网进行合作也说明了大麦网的销售实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jc w:val="both"/>
        <w:textAlignment w:val="auto"/>
        <w:rPr>
          <w:rFonts w:hint="eastAsia"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bCs/>
          <w:i w:val="0"/>
          <w:iCs w:val="0"/>
          <w:color w:val="auto"/>
          <w:sz w:val="32"/>
          <w:szCs w:val="32"/>
          <w:lang w:val="en-US" w:eastAsia="zh-CN"/>
        </w:rPr>
        <w:t>（二）秀动</w:t>
      </w:r>
    </w:p>
    <w:p>
      <w:pPr>
        <w:pStyle w:val="6"/>
        <w:keepNext w:val="0"/>
        <w:keepLines w:val="0"/>
        <w:pageBreakBefore w:val="0"/>
        <w:widowControl w:val="0"/>
        <w:kinsoku/>
        <w:wordWrap/>
        <w:overflowPunct/>
        <w:topLinePunct w:val="0"/>
        <w:autoSpaceDE/>
        <w:autoSpaceDN/>
        <w:bidi w:val="0"/>
        <w:adjustRightInd/>
        <w:snapToGrid/>
        <w:spacing w:after="0" w:line="240" w:lineRule="auto"/>
        <w:ind w:firstLine="640" w:firstLineChars="200"/>
        <w:jc w:val="both"/>
        <w:textAlignment w:val="auto"/>
        <w:rPr>
          <w:rFonts w:hint="eastAsia" w:ascii="仿宋_GB2312" w:hAnsi="仿宋_GB2312" w:eastAsia="仿宋_GB2312" w:cs="仿宋_GB2312"/>
          <w:b w:val="0"/>
          <w:bCs w:val="0"/>
          <w:i w:val="0"/>
          <w:iCs w:val="0"/>
          <w:color w:val="auto"/>
          <w:kern w:val="2"/>
          <w:sz w:val="32"/>
          <w:szCs w:val="32"/>
          <w:lang w:val="en-US" w:eastAsia="zh-Hans" w:bidi="ar-SA"/>
        </w:rPr>
      </w:pPr>
      <w:r>
        <w:rPr>
          <w:rFonts w:hint="eastAsia" w:ascii="仿宋_GB2312" w:hAnsi="仿宋_GB2312" w:eastAsia="仿宋_GB2312" w:cs="仿宋_GB2312"/>
          <w:b w:val="0"/>
          <w:bCs w:val="0"/>
          <w:i w:val="0"/>
          <w:iCs w:val="0"/>
          <w:color w:val="auto"/>
          <w:kern w:val="2"/>
          <w:sz w:val="32"/>
          <w:szCs w:val="32"/>
          <w:lang w:val="en-US" w:eastAsia="zh-CN" w:bidi="ar-SA"/>
        </w:rPr>
        <w:t>秀动是</w:t>
      </w:r>
      <w:r>
        <w:rPr>
          <w:rFonts w:hint="eastAsia" w:ascii="仿宋_GB2312" w:hAnsi="仿宋_GB2312" w:eastAsia="仿宋_GB2312" w:cs="仿宋_GB2312"/>
          <w:b w:val="0"/>
          <w:bCs w:val="0"/>
          <w:i w:val="0"/>
          <w:iCs w:val="0"/>
          <w:color w:val="auto"/>
          <w:kern w:val="2"/>
          <w:sz w:val="32"/>
          <w:szCs w:val="32"/>
          <w:lang w:val="en-US" w:eastAsia="zh-Hans" w:bidi="ar-SA"/>
        </w:rPr>
        <w:t>目前</w:t>
      </w:r>
      <w:r>
        <w:rPr>
          <w:rFonts w:hint="eastAsia" w:ascii="仿宋_GB2312" w:hAnsi="仿宋_GB2312" w:eastAsia="仿宋_GB2312" w:cs="仿宋_GB2312"/>
          <w:b w:val="0"/>
          <w:bCs w:val="0"/>
          <w:i w:val="0"/>
          <w:iCs w:val="0"/>
          <w:color w:val="auto"/>
          <w:kern w:val="2"/>
          <w:sz w:val="32"/>
          <w:szCs w:val="32"/>
          <w:lang w:val="en-US" w:eastAsia="zh-CN" w:bidi="ar-SA"/>
        </w:rPr>
        <w:t>国内</w:t>
      </w:r>
      <w:r>
        <w:rPr>
          <w:rFonts w:hint="eastAsia" w:ascii="仿宋_GB2312" w:hAnsi="仿宋_GB2312" w:eastAsia="仿宋_GB2312" w:cs="仿宋_GB2312"/>
          <w:b w:val="0"/>
          <w:bCs w:val="0"/>
          <w:i w:val="0"/>
          <w:iCs w:val="0"/>
          <w:color w:val="auto"/>
          <w:kern w:val="2"/>
          <w:sz w:val="32"/>
          <w:szCs w:val="32"/>
          <w:lang w:val="en-US" w:eastAsia="zh-Hans" w:bidi="ar-SA"/>
        </w:rPr>
        <w:t>最</w:t>
      </w:r>
      <w:r>
        <w:rPr>
          <w:rFonts w:hint="eastAsia" w:ascii="仿宋_GB2312" w:hAnsi="仿宋_GB2312" w:eastAsia="仿宋_GB2312" w:cs="仿宋_GB2312"/>
          <w:b w:val="0"/>
          <w:bCs w:val="0"/>
          <w:i w:val="0"/>
          <w:iCs w:val="0"/>
          <w:color w:val="auto"/>
          <w:kern w:val="2"/>
          <w:sz w:val="32"/>
          <w:szCs w:val="32"/>
          <w:lang w:val="en-US" w:eastAsia="zh-CN" w:bidi="ar-SA"/>
        </w:rPr>
        <w:t>具号召力</w:t>
      </w:r>
      <w:r>
        <w:rPr>
          <w:rFonts w:hint="eastAsia" w:ascii="仿宋_GB2312" w:hAnsi="仿宋_GB2312" w:eastAsia="仿宋_GB2312" w:cs="仿宋_GB2312"/>
          <w:b w:val="0"/>
          <w:bCs w:val="0"/>
          <w:i w:val="0"/>
          <w:iCs w:val="0"/>
          <w:color w:val="auto"/>
          <w:kern w:val="2"/>
          <w:sz w:val="32"/>
          <w:szCs w:val="32"/>
          <w:lang w:val="en-US" w:eastAsia="zh-Hans" w:bidi="ar-SA"/>
        </w:rPr>
        <w:t>和影响力</w:t>
      </w:r>
      <w:r>
        <w:rPr>
          <w:rFonts w:hint="eastAsia" w:ascii="仿宋_GB2312" w:hAnsi="仿宋_GB2312" w:eastAsia="仿宋_GB2312" w:cs="仿宋_GB2312"/>
          <w:b w:val="0"/>
          <w:bCs w:val="0"/>
          <w:i w:val="0"/>
          <w:iCs w:val="0"/>
          <w:color w:val="auto"/>
          <w:kern w:val="2"/>
          <w:sz w:val="32"/>
          <w:szCs w:val="32"/>
          <w:lang w:val="en-US" w:eastAsia="zh-CN" w:bidi="ar-SA"/>
        </w:rPr>
        <w:t>的音乐演出</w:t>
      </w:r>
      <w:r>
        <w:rPr>
          <w:rFonts w:hint="eastAsia" w:ascii="仿宋_GB2312" w:hAnsi="仿宋_GB2312" w:eastAsia="仿宋_GB2312" w:cs="仿宋_GB2312"/>
          <w:b w:val="0"/>
          <w:bCs w:val="0"/>
          <w:i w:val="0"/>
          <w:iCs w:val="0"/>
          <w:color w:val="auto"/>
          <w:kern w:val="2"/>
          <w:sz w:val="32"/>
          <w:szCs w:val="32"/>
          <w:lang w:val="en-US" w:eastAsia="zh-Hans" w:bidi="ar-SA"/>
        </w:rPr>
        <w:t>活动类资源整合平台，也</w:t>
      </w:r>
      <w:r>
        <w:rPr>
          <w:rFonts w:hint="eastAsia" w:ascii="仿宋_GB2312" w:hAnsi="仿宋_GB2312" w:eastAsia="仿宋_GB2312" w:cs="仿宋_GB2312"/>
          <w:b w:val="0"/>
          <w:bCs w:val="0"/>
          <w:i w:val="0"/>
          <w:iCs w:val="0"/>
          <w:color w:val="auto"/>
          <w:kern w:val="2"/>
          <w:sz w:val="32"/>
          <w:szCs w:val="32"/>
          <w:lang w:val="en-US" w:eastAsia="zh-CN" w:bidi="ar-SA"/>
        </w:rPr>
        <w:t>是</w:t>
      </w:r>
      <w:r>
        <w:rPr>
          <w:rFonts w:hint="eastAsia" w:ascii="仿宋_GB2312" w:hAnsi="仿宋_GB2312" w:eastAsia="仿宋_GB2312" w:cs="仿宋_GB2312"/>
          <w:b w:val="0"/>
          <w:bCs w:val="0"/>
          <w:i w:val="0"/>
          <w:iCs w:val="0"/>
          <w:color w:val="auto"/>
          <w:kern w:val="2"/>
          <w:sz w:val="32"/>
          <w:szCs w:val="32"/>
          <w:lang w:val="en-US" w:eastAsia="zh-Hans" w:bidi="ar-SA"/>
        </w:rPr>
        <w:t>四川</w:t>
      </w:r>
      <w:r>
        <w:rPr>
          <w:rFonts w:hint="eastAsia" w:ascii="仿宋_GB2312" w:hAnsi="仿宋_GB2312" w:eastAsia="仿宋_GB2312" w:cs="仿宋_GB2312"/>
          <w:b w:val="0"/>
          <w:bCs w:val="0"/>
          <w:i w:val="0"/>
          <w:iCs w:val="0"/>
          <w:color w:val="auto"/>
          <w:kern w:val="2"/>
          <w:sz w:val="32"/>
          <w:szCs w:val="32"/>
          <w:lang w:val="en-US" w:eastAsia="zh-CN" w:bidi="ar-SA"/>
        </w:rPr>
        <w:t>省</w:t>
      </w:r>
      <w:r>
        <w:rPr>
          <w:rFonts w:hint="eastAsia" w:ascii="仿宋_GB2312" w:hAnsi="仿宋_GB2312" w:eastAsia="仿宋_GB2312" w:cs="仿宋_GB2312"/>
          <w:b w:val="0"/>
          <w:bCs w:val="0"/>
          <w:i w:val="0"/>
          <w:iCs w:val="0"/>
          <w:color w:val="auto"/>
          <w:kern w:val="2"/>
          <w:sz w:val="32"/>
          <w:szCs w:val="32"/>
          <w:lang w:val="en-US" w:eastAsia="zh-Hans" w:bidi="ar-SA"/>
        </w:rPr>
        <w:t>三大演出票务平台之一。仅在成都地区，为</w:t>
      </w:r>
      <w:r>
        <w:rPr>
          <w:rFonts w:hint="eastAsia" w:ascii="仿宋_GB2312" w:hAnsi="仿宋_GB2312" w:eastAsia="仿宋_GB2312" w:cs="仿宋_GB2312"/>
          <w:b w:val="0"/>
          <w:bCs w:val="0"/>
          <w:i w:val="0"/>
          <w:iCs w:val="0"/>
          <w:color w:val="auto"/>
          <w:kern w:val="2"/>
          <w:sz w:val="32"/>
          <w:szCs w:val="32"/>
          <w:lang w:val="en-US" w:eastAsia="zh-CN" w:bidi="ar-SA"/>
        </w:rPr>
        <w:t>CH8冇独空间、域上和美先锋剧场、四川大剧院、成都国际剧院、金沙音乐厅</w:t>
      </w:r>
      <w:r>
        <w:rPr>
          <w:rFonts w:hint="eastAsia" w:ascii="仿宋_GB2312" w:hAnsi="仿宋_GB2312" w:eastAsia="仿宋_GB2312" w:cs="仿宋_GB2312"/>
          <w:b w:val="0"/>
          <w:bCs w:val="0"/>
          <w:i w:val="0"/>
          <w:iCs w:val="0"/>
          <w:color w:val="auto"/>
          <w:kern w:val="2"/>
          <w:sz w:val="32"/>
          <w:szCs w:val="32"/>
          <w:lang w:val="en-US" w:eastAsia="zh-Hans" w:bidi="ar-SA"/>
        </w:rPr>
        <w:t>等数十家演出场馆提供票务服务和支持。在疫情影响的2021年，秀动代理演出票务3393场，出票23.03万张，票房总数</w:t>
      </w:r>
      <w:r>
        <w:rPr>
          <w:rFonts w:hint="eastAsia" w:ascii="仿宋_GB2312" w:hAnsi="仿宋_GB2312" w:eastAsia="仿宋_GB2312" w:cs="仿宋_GB2312"/>
          <w:b w:val="0"/>
          <w:bCs w:val="0"/>
          <w:i w:val="0"/>
          <w:iCs w:val="0"/>
          <w:color w:val="auto"/>
          <w:kern w:val="2"/>
          <w:sz w:val="32"/>
          <w:szCs w:val="32"/>
          <w:lang w:val="en-US" w:eastAsia="zh-CN" w:bidi="ar-SA"/>
        </w:rPr>
        <w:t>4223.80</w:t>
      </w:r>
      <w:r>
        <w:rPr>
          <w:rFonts w:hint="eastAsia" w:ascii="仿宋_GB2312" w:hAnsi="仿宋_GB2312" w:eastAsia="仿宋_GB2312" w:cs="仿宋_GB2312"/>
          <w:b w:val="0"/>
          <w:bCs w:val="0"/>
          <w:i w:val="0"/>
          <w:iCs w:val="0"/>
          <w:color w:val="auto"/>
          <w:kern w:val="2"/>
          <w:sz w:val="32"/>
          <w:szCs w:val="32"/>
          <w:lang w:val="en-US" w:eastAsia="zh-Hans" w:bidi="ar-SA"/>
        </w:rPr>
        <w:t>万元。其中代理Livehouse演出票务1500场，出票</w:t>
      </w:r>
      <w:r>
        <w:rPr>
          <w:rFonts w:hint="eastAsia" w:ascii="仿宋_GB2312" w:hAnsi="仿宋_GB2312" w:eastAsia="仿宋_GB2312" w:cs="仿宋_GB2312"/>
          <w:b w:val="0"/>
          <w:bCs w:val="0"/>
          <w:i w:val="0"/>
          <w:iCs w:val="0"/>
          <w:color w:val="auto"/>
          <w:kern w:val="2"/>
          <w:sz w:val="32"/>
          <w:szCs w:val="32"/>
          <w:lang w:val="en-US" w:eastAsia="zh-CN" w:bidi="ar-SA"/>
        </w:rPr>
        <w:t>14.58</w:t>
      </w:r>
      <w:r>
        <w:rPr>
          <w:rFonts w:hint="eastAsia" w:ascii="仿宋_GB2312" w:hAnsi="仿宋_GB2312" w:eastAsia="仿宋_GB2312" w:cs="仿宋_GB2312"/>
          <w:b w:val="0"/>
          <w:bCs w:val="0"/>
          <w:i w:val="0"/>
          <w:iCs w:val="0"/>
          <w:color w:val="auto"/>
          <w:kern w:val="2"/>
          <w:sz w:val="32"/>
          <w:szCs w:val="32"/>
          <w:lang w:val="en-US" w:eastAsia="zh-Hans" w:bidi="ar-SA"/>
        </w:rPr>
        <w:t>万张，票房总数</w:t>
      </w:r>
      <w:r>
        <w:rPr>
          <w:rFonts w:hint="eastAsia" w:ascii="仿宋_GB2312" w:hAnsi="仿宋_GB2312" w:eastAsia="仿宋_GB2312" w:cs="仿宋_GB2312"/>
          <w:b w:val="0"/>
          <w:bCs w:val="0"/>
          <w:i w:val="0"/>
          <w:iCs w:val="0"/>
          <w:color w:val="auto"/>
          <w:kern w:val="2"/>
          <w:sz w:val="32"/>
          <w:szCs w:val="32"/>
          <w:lang w:val="en-US" w:eastAsia="zh-CN" w:bidi="ar-SA"/>
        </w:rPr>
        <w:t>3000.57</w:t>
      </w:r>
      <w:r>
        <w:rPr>
          <w:rFonts w:hint="eastAsia" w:ascii="仿宋_GB2312" w:hAnsi="仿宋_GB2312" w:eastAsia="仿宋_GB2312" w:cs="仿宋_GB2312"/>
          <w:b w:val="0"/>
          <w:bCs w:val="0"/>
          <w:i w:val="0"/>
          <w:iCs w:val="0"/>
          <w:color w:val="auto"/>
          <w:kern w:val="2"/>
          <w:sz w:val="32"/>
          <w:szCs w:val="32"/>
          <w:lang w:val="en-US" w:eastAsia="zh-Hans" w:bidi="ar-SA"/>
        </w:rPr>
        <w:t>万元。</w:t>
      </w:r>
    </w:p>
    <w:p>
      <w:pPr>
        <w:ind w:firstLine="643"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i w:val="0"/>
          <w:iCs w:val="0"/>
          <w:color w:val="auto"/>
          <w:kern w:val="2"/>
          <w:sz w:val="32"/>
          <w:szCs w:val="32"/>
          <w:lang w:val="en-US" w:eastAsia="zh-CN" w:bidi="ar-SA"/>
        </w:rPr>
        <w:t>（三）猫眼</w:t>
      </w:r>
    </w:p>
    <w:p>
      <w:pPr>
        <w:ind w:firstLine="640" w:firstLineChars="200"/>
        <w:rPr>
          <w:rFonts w:hint="eastAsia" w:ascii="仿宋_GB2312" w:hAnsi="仿宋_GB2312" w:eastAsia="仿宋_GB2312" w:cs="仿宋_GB2312"/>
          <w:b w:val="0"/>
          <w:bCs w:val="0"/>
          <w:i w:val="0"/>
          <w:iCs w:val="0"/>
          <w:color w:val="auto"/>
          <w:kern w:val="2"/>
          <w:sz w:val="32"/>
          <w:szCs w:val="32"/>
          <w:lang w:val="en-US" w:eastAsia="zh-CN" w:bidi="ar-SA"/>
        </w:rPr>
      </w:pPr>
      <w:r>
        <w:rPr>
          <w:rFonts w:hint="eastAsia" w:ascii="仿宋_GB2312" w:hAnsi="仿宋_GB2312" w:eastAsia="仿宋_GB2312" w:cs="仿宋_GB2312"/>
          <w:b w:val="0"/>
          <w:bCs w:val="0"/>
          <w:i w:val="0"/>
          <w:iCs w:val="0"/>
          <w:color w:val="auto"/>
          <w:kern w:val="2"/>
          <w:sz w:val="32"/>
          <w:szCs w:val="32"/>
          <w:lang w:val="en-US" w:eastAsia="zh-CN" w:bidi="ar-SA"/>
        </w:rPr>
        <w:t>猫眼也是一个在四川较为活跃的票务平台，服务于现场娱乐领域，创造了日活超过1.3亿的用户量并实现在线票务市场超60%的统治力。猫眼提出“智慧场馆”的概念，从票务系统、官方微信小程序、全渠道营销、指挥现场解决方案、会员管理、POI服务、大数据分析，7大解决方案有效服务文娱行业全流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黑体" w:hAnsi="黑体" w:eastAsia="黑体" w:cs="黑体"/>
          <w:b w:val="0"/>
          <w:bCs w:val="0"/>
          <w:i w:val="0"/>
          <w:iCs w:val="0"/>
          <w:color w:val="auto"/>
          <w:sz w:val="32"/>
          <w:szCs w:val="32"/>
          <w:lang w:val="en-US" w:eastAsia="zh-CN"/>
        </w:rPr>
      </w:pPr>
      <w:r>
        <w:rPr>
          <w:rFonts w:hint="eastAsia" w:ascii="黑体" w:hAnsi="黑体" w:eastAsia="黑体" w:cs="黑体"/>
          <w:b w:val="0"/>
          <w:bCs w:val="0"/>
          <w:i w:val="0"/>
          <w:iCs w:val="0"/>
          <w:color w:val="auto"/>
          <w:sz w:val="32"/>
          <w:szCs w:val="32"/>
          <w:lang w:val="en-US" w:eastAsia="zh-CN"/>
        </w:rPr>
        <w:t>三、四川省演出票务公司面临的问题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bCs/>
          <w:i w:val="0"/>
          <w:iCs w:val="0"/>
          <w:color w:val="auto"/>
          <w:sz w:val="32"/>
          <w:szCs w:val="32"/>
          <w:lang w:val="en-US" w:eastAsia="zh-CN"/>
        </w:rPr>
        <w:t>（一）票务系统不规范，出现黄牛乱象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val="0"/>
          <w:bCs w:val="0"/>
          <w:i w:val="0"/>
          <w:iCs w:val="0"/>
          <w:color w:val="auto"/>
          <w:kern w:val="2"/>
          <w:sz w:val="32"/>
          <w:szCs w:val="32"/>
          <w:lang w:val="en-US" w:eastAsia="zh-CN" w:bidi="ar-SA"/>
        </w:rPr>
        <w:t>2021年6月18-20日，央华版《如梦之梦》巡演来到第三站成都的四川大剧院，该现象级演出项目因为艺人肖战的加盟更是成为引起全国热议的文化事件。6月5日12点《如梦之梦》在大麦正式公开销售，不到一分钟便全网售罄，众多粉丝只能通过黄牛寻求与喜爱明星近距离接触的机会。根据互联网上的交易信息，成都场不同票面的演出票少则炒到原价10倍，多则炒到原价25倍，位置最好的“莲花池”达到了惊人的3万元一张。成都场这一乱象的背后也是演出行业长期存在的票务问题。演出票务市场信息不透明、演出票务管理缺乏统一管理标准，演出主办方、组织方、票务代理商都容易存在不合理锁票的行为，向活跃的“黄牛”输送大量内部票，助长倒票行为，严重阻碍了演出行业的健康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bCs/>
          <w:i w:val="0"/>
          <w:iCs w:val="0"/>
          <w:color w:val="auto"/>
          <w:sz w:val="32"/>
          <w:szCs w:val="32"/>
          <w:lang w:val="en-US" w:eastAsia="zh-CN"/>
        </w:rPr>
        <w:t>（二）模式单一，受制于地区和内容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仿宋_GB2312" w:hAnsi="仿宋_GB2312" w:eastAsia="仿宋_GB2312" w:cs="仿宋_GB2312"/>
          <w:b w:val="0"/>
          <w:bCs w:val="0"/>
          <w:i w:val="0"/>
          <w:iCs w:val="0"/>
          <w:color w:val="auto"/>
          <w:kern w:val="2"/>
          <w:sz w:val="32"/>
          <w:szCs w:val="32"/>
          <w:lang w:val="en-US" w:eastAsia="zh-CN" w:bidi="ar-SA"/>
        </w:rPr>
      </w:pPr>
      <w:r>
        <w:rPr>
          <w:rFonts w:hint="eastAsia" w:ascii="仿宋_GB2312" w:hAnsi="仿宋_GB2312" w:eastAsia="仿宋_GB2312" w:cs="仿宋_GB2312"/>
          <w:b w:val="0"/>
          <w:bCs w:val="0"/>
          <w:i w:val="0"/>
          <w:iCs w:val="0"/>
          <w:color w:val="auto"/>
          <w:kern w:val="2"/>
          <w:sz w:val="32"/>
          <w:szCs w:val="32"/>
          <w:lang w:val="en-US" w:eastAsia="zh-CN" w:bidi="ar-SA"/>
        </w:rPr>
        <w:t>本质上，演出票务公司处于产业链的中下游，仅仅是演出剧目等文化产品的渠道销售商，某些演出还存在一级代理、二级分销的情况。手握演出版权、演员、场地资源的演出主办方能够决定演出票价，还在代理谈判中占据主导地位。票务公司为了争取更好的演出项目往往需要付出高额的代理费用，承担较大风险，无论是网站运营还是营销推广，都无法摆脱依赖代理费用的尴尬境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val="0"/>
          <w:bCs w:val="0"/>
          <w:i w:val="0"/>
          <w:iCs w:val="0"/>
          <w:color w:val="auto"/>
          <w:kern w:val="2"/>
          <w:sz w:val="32"/>
          <w:szCs w:val="32"/>
          <w:lang w:val="en-US" w:eastAsia="zh-CN" w:bidi="ar-SA"/>
        </w:rPr>
        <w:t>为应对当前疫情防控严峻形势，境外院团及演出项目无法落地国内，而国内热门剧目、优秀院团多来自于北京、上海、广州等，四川省的票务公司陷入“无米之炊”的窘迫境地。因为缺少专业的演出市场排期，大多数演出商存在随机安排演出档期和演出项目。仅在2021年11月，成都地区的大喜时代剧场、阿尔法剧场、成都·麓湖水上剧场就分别上演了《冰雪奇缘环游世界亲子沉浸式互动视听音乐会》《冰雪奇缘主题视听音乐会》和大型全景多媒体舞台剧《冰雪女王》等同一IP、不同版本的剧目。在绵阳，绵阳橙众文化传播有限公司和绵阳市艺术剧院有限责任公司连续两天分别在梓州大剧院和绵州大剧院分别演出了儿童剧《冰雪女王》。而为了争取稀缺的演出资源，票务公司不得不用高价拿下销售和代理权，生存条件完全收到钳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default"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bCs/>
          <w:i w:val="0"/>
          <w:iCs w:val="0"/>
          <w:color w:val="auto"/>
          <w:sz w:val="32"/>
          <w:szCs w:val="32"/>
          <w:lang w:val="en-US" w:eastAsia="zh-CN"/>
        </w:rPr>
        <w:t>（三）退票制度痛点较明显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仿宋_GB2312" w:hAnsi="仿宋_GB2312" w:eastAsia="仿宋_GB2312" w:cs="仿宋_GB2312"/>
          <w:b w:val="0"/>
          <w:bCs w:val="0"/>
          <w:i w:val="0"/>
          <w:iCs w:val="0"/>
          <w:color w:val="auto"/>
          <w:kern w:val="2"/>
          <w:sz w:val="32"/>
          <w:szCs w:val="32"/>
          <w:lang w:val="en-US" w:eastAsia="zh-CN" w:bidi="ar-SA"/>
        </w:rPr>
      </w:pPr>
      <w:r>
        <w:rPr>
          <w:rFonts w:hint="eastAsia" w:ascii="仿宋_GB2312" w:hAnsi="仿宋_GB2312" w:eastAsia="仿宋_GB2312" w:cs="仿宋_GB2312"/>
          <w:b w:val="0"/>
          <w:bCs w:val="0"/>
          <w:i w:val="0"/>
          <w:iCs w:val="0"/>
          <w:color w:val="auto"/>
          <w:kern w:val="2"/>
          <w:sz w:val="32"/>
          <w:szCs w:val="32"/>
          <w:lang w:val="en-US" w:eastAsia="zh-CN" w:bidi="ar-SA"/>
        </w:rPr>
        <w:t>通过观察各个在线票务平台的购买界面，均可发现“不支持退”的字眼。以大麦、猫眼为例，在退票/换票规则中平台将票品定义为有价证券，非普通商品。票品背后承载的文化服务具有时效性、稀缺性等特征，不支持退换。学界曾有过讨论，票务平台“不允许退票”的规则涉嫌格式条款的不公平不合理，根据《消保法》第10条和第26条第2、3 款，其行为侵犯消费者的公平交易权，格式条款无效。虽然格式条款的无效并不意味着观众在购买演出票时一定被允许“允许退票”，但在票务管理系统不断完善的背景下，合理的退票制度无论从市场机制和效率价值方面都对演出市场有积极影响。疫情防控背景下，演出取消时有发生。据调研，大多数主流购票渠道的退票周期最长可以达到20个工作日，造成观众在购票时多有顾虑。寻求一个演出举办单位、票务平台、观众三方共同认可的退票政策，某种程度上能促进票务行业的转型和发展。</w:t>
      </w:r>
    </w:p>
    <w:p>
      <w:pPr>
        <w:numPr>
          <w:ilvl w:val="0"/>
          <w:numId w:val="0"/>
        </w:numPr>
        <w:ind w:firstLine="640" w:firstLineChars="200"/>
        <w:rPr>
          <w:rFonts w:hint="eastAsia" w:ascii="仿宋_GB2312" w:hAnsi="仿宋_GB2312" w:eastAsia="仿宋_GB2312" w:cs="仿宋_GB2312"/>
          <w:b/>
          <w:bCs/>
          <w:i w:val="0"/>
          <w:iCs w:val="0"/>
          <w:color w:val="auto"/>
          <w:sz w:val="32"/>
          <w:szCs w:val="32"/>
          <w:lang w:val="en-US" w:eastAsia="zh-CN"/>
        </w:rPr>
      </w:pPr>
      <w:r>
        <w:rPr>
          <w:rFonts w:hint="eastAsia" w:ascii="黑体" w:hAnsi="黑体" w:eastAsia="黑体" w:cs="黑体"/>
          <w:b w:val="0"/>
          <w:bCs w:val="0"/>
          <w:i w:val="0"/>
          <w:iCs w:val="0"/>
          <w:color w:val="auto"/>
          <w:sz w:val="32"/>
          <w:szCs w:val="32"/>
          <w:lang w:val="en-US" w:eastAsia="zh-CN"/>
        </w:rPr>
        <w:t>四、四川省演出票务公司的发展趋势</w:t>
      </w:r>
    </w:p>
    <w:p>
      <w:pPr>
        <w:numPr>
          <w:ilvl w:val="0"/>
          <w:numId w:val="0"/>
        </w:numPr>
        <w:ind w:firstLine="643" w:firstLineChars="200"/>
        <w:rPr>
          <w:rFonts w:hint="eastAsia"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bCs/>
          <w:i w:val="0"/>
          <w:iCs w:val="0"/>
          <w:color w:val="auto"/>
          <w:sz w:val="32"/>
          <w:szCs w:val="32"/>
          <w:lang w:val="en-US" w:eastAsia="zh-CN"/>
        </w:rPr>
        <w:t>（一）建立全新的院线票务系统</w:t>
      </w:r>
    </w:p>
    <w:p>
      <w:pPr>
        <w:pStyle w:val="20"/>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i w:val="0"/>
          <w:iCs w:val="0"/>
          <w:color w:val="auto"/>
          <w:kern w:val="2"/>
          <w:sz w:val="32"/>
          <w:szCs w:val="32"/>
          <w:lang w:val="en-US" w:eastAsia="zh-CN" w:bidi="ar-SA"/>
        </w:rPr>
      </w:pPr>
      <w:r>
        <w:rPr>
          <w:rFonts w:hint="eastAsia" w:ascii="仿宋_GB2312" w:hAnsi="仿宋_GB2312" w:eastAsia="仿宋_GB2312" w:cs="仿宋_GB2312"/>
          <w:b w:val="0"/>
          <w:bCs w:val="0"/>
          <w:i w:val="0"/>
          <w:iCs w:val="0"/>
          <w:color w:val="auto"/>
          <w:kern w:val="2"/>
          <w:sz w:val="32"/>
          <w:szCs w:val="32"/>
          <w:lang w:val="en-US" w:eastAsia="zh-CN" w:bidi="ar-SA"/>
        </w:rPr>
        <w:t>四川建立了四川省剧场院线，主导成立了中国西部演艺院线，旨在升级四川全省的剧场运营模式，对现有的体系重构与进化。在票务系统方面，若以院线为引领，探索票务系统的“四川模式”，打造院线票务系统的“四川标准”，顺应行业的数字化发展，串联起全省各个演出从业单位是值得考虑的。例如，</w:t>
      </w:r>
      <w:r>
        <w:rPr>
          <w:rFonts w:hint="eastAsia" w:ascii="仿宋_GB2312" w:hAnsi="仿宋_GB2312" w:eastAsia="仿宋_GB2312" w:cs="仿宋_GB2312"/>
          <w:b w:val="0"/>
          <w:bCs w:val="0"/>
          <w:i w:val="0"/>
          <w:iCs w:val="0"/>
          <w:color w:val="auto"/>
          <w:sz w:val="32"/>
          <w:szCs w:val="32"/>
          <w:lang w:val="en-US" w:eastAsia="zh-CN"/>
        </w:rPr>
        <w:t>四川大剧院于2021年开始进行智慧剧院系统的开发建设任务，目前系统已具备试运行条件。</w:t>
      </w:r>
      <w:r>
        <w:rPr>
          <w:rFonts w:hint="eastAsia" w:ascii="仿宋_GB2312" w:hAnsi="仿宋_GB2312" w:eastAsia="仿宋_GB2312" w:cs="仿宋_GB2312"/>
          <w:b w:val="0"/>
          <w:bCs w:val="0"/>
          <w:i w:val="0"/>
          <w:iCs w:val="0"/>
          <w:color w:val="auto"/>
          <w:kern w:val="2"/>
          <w:sz w:val="32"/>
          <w:szCs w:val="32"/>
          <w:lang w:val="en-US" w:eastAsia="zh-CN" w:bidi="ar-SA"/>
        </w:rPr>
        <w:t>实现了</w:t>
      </w:r>
      <w:r>
        <w:rPr>
          <w:rFonts w:hint="eastAsia" w:ascii="仿宋_GB2312" w:hAnsi="仿宋_GB2312" w:eastAsia="仿宋_GB2312" w:cs="仿宋_GB2312"/>
          <w:b w:val="0"/>
          <w:bCs w:val="0"/>
          <w:i w:val="0"/>
          <w:iCs w:val="0"/>
          <w:color w:val="auto"/>
          <w:kern w:val="2"/>
          <w:sz w:val="32"/>
          <w:szCs w:val="32"/>
          <w:lang w:val="en-US" w:eastAsia="zh-Hans" w:bidi="ar-SA"/>
        </w:rPr>
        <w:t>智慧售票一体化</w:t>
      </w:r>
      <w:r>
        <w:rPr>
          <w:rFonts w:hint="eastAsia" w:ascii="仿宋_GB2312" w:hAnsi="仿宋_GB2312" w:eastAsia="仿宋_GB2312" w:cs="仿宋_GB2312"/>
          <w:b w:val="0"/>
          <w:bCs w:val="0"/>
          <w:i w:val="0"/>
          <w:iCs w:val="0"/>
          <w:color w:val="auto"/>
          <w:kern w:val="2"/>
          <w:sz w:val="32"/>
          <w:szCs w:val="32"/>
          <w:lang w:val="en-US" w:eastAsia="zh-CN" w:bidi="ar-SA"/>
        </w:rPr>
        <w:t>、</w:t>
      </w:r>
      <w:r>
        <w:rPr>
          <w:rFonts w:hint="eastAsia" w:ascii="仿宋_GB2312" w:hAnsi="仿宋_GB2312" w:eastAsia="仿宋_GB2312" w:cs="仿宋_GB2312"/>
          <w:b w:val="0"/>
          <w:bCs w:val="0"/>
          <w:i w:val="0"/>
          <w:iCs w:val="0"/>
          <w:color w:val="auto"/>
          <w:kern w:val="2"/>
          <w:sz w:val="32"/>
          <w:szCs w:val="32"/>
          <w:lang w:val="en-US" w:eastAsia="zh-Hans" w:bidi="ar-SA"/>
        </w:rPr>
        <w:t>智慧营销一体化</w:t>
      </w:r>
      <w:r>
        <w:rPr>
          <w:rFonts w:hint="eastAsia" w:ascii="仿宋_GB2312" w:hAnsi="仿宋_GB2312" w:eastAsia="仿宋_GB2312" w:cs="仿宋_GB2312"/>
          <w:b w:val="0"/>
          <w:bCs w:val="0"/>
          <w:i w:val="0"/>
          <w:iCs w:val="0"/>
          <w:color w:val="auto"/>
          <w:kern w:val="2"/>
          <w:sz w:val="32"/>
          <w:szCs w:val="32"/>
          <w:lang w:val="en-US" w:eastAsia="zh-CN" w:bidi="ar-SA"/>
        </w:rPr>
        <w:t>、</w:t>
      </w:r>
      <w:r>
        <w:rPr>
          <w:rFonts w:hint="eastAsia" w:ascii="仿宋_GB2312" w:hAnsi="仿宋_GB2312" w:eastAsia="仿宋_GB2312" w:cs="仿宋_GB2312"/>
          <w:b w:val="0"/>
          <w:bCs w:val="0"/>
          <w:i w:val="0"/>
          <w:iCs w:val="0"/>
          <w:color w:val="auto"/>
          <w:kern w:val="2"/>
          <w:sz w:val="32"/>
          <w:szCs w:val="32"/>
          <w:lang w:val="en-US" w:eastAsia="zh-Hans" w:bidi="ar-SA"/>
        </w:rPr>
        <w:t>智慧检票动态化。</w:t>
      </w:r>
      <w:r>
        <w:rPr>
          <w:rFonts w:hint="eastAsia" w:ascii="仿宋_GB2312" w:hAnsi="仿宋_GB2312" w:eastAsia="仿宋_GB2312" w:cs="仿宋_GB2312"/>
          <w:b w:val="0"/>
          <w:bCs w:val="0"/>
          <w:i w:val="0"/>
          <w:iCs w:val="0"/>
          <w:color w:val="auto"/>
          <w:kern w:val="2"/>
          <w:sz w:val="32"/>
          <w:szCs w:val="32"/>
          <w:lang w:val="en-US" w:eastAsia="zh-CN" w:bidi="ar-SA"/>
        </w:rPr>
        <w:t>在未来有望通过智慧票务管理平台，</w:t>
      </w:r>
      <w:r>
        <w:rPr>
          <w:rFonts w:hint="eastAsia" w:ascii="仿宋_GB2312" w:hAnsi="仿宋_GB2312" w:eastAsia="仿宋_GB2312" w:cs="仿宋_GB2312"/>
          <w:b w:val="0"/>
          <w:bCs w:val="0"/>
          <w:i w:val="0"/>
          <w:iCs w:val="0"/>
          <w:color w:val="auto"/>
          <w:kern w:val="2"/>
          <w:sz w:val="32"/>
          <w:szCs w:val="32"/>
          <w:lang w:val="en-US" w:eastAsia="zh-Hans" w:bidi="ar-SA"/>
        </w:rPr>
        <w:t>围绕大剧院内部管理模式、加盟机制为中心业务线</w:t>
      </w:r>
      <w:r>
        <w:rPr>
          <w:rFonts w:hint="eastAsia" w:ascii="仿宋_GB2312" w:hAnsi="仿宋_GB2312" w:eastAsia="仿宋_GB2312" w:cs="仿宋_GB2312"/>
          <w:b w:val="0"/>
          <w:bCs w:val="0"/>
          <w:i w:val="0"/>
          <w:iCs w:val="0"/>
          <w:color w:val="auto"/>
          <w:kern w:val="2"/>
          <w:sz w:val="32"/>
          <w:szCs w:val="32"/>
          <w:lang w:val="en-US" w:eastAsia="zh-CN" w:bidi="ar-SA"/>
        </w:rPr>
        <w:t>，串联起全省各级的专业剧场、艺术院团、演艺企业，为四川省剧场院线成员以及其他省内剧场提供综合票务管理解决方案，为演出行业提供数字化智能化基础设施。</w:t>
      </w:r>
    </w:p>
    <w:p>
      <w:pPr>
        <w:numPr>
          <w:ilvl w:val="0"/>
          <w:numId w:val="0"/>
        </w:numPr>
        <w:ind w:firstLine="643" w:firstLineChars="200"/>
        <w:rPr>
          <w:rFonts w:hint="eastAsia"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bCs/>
          <w:i w:val="0"/>
          <w:iCs w:val="0"/>
          <w:color w:val="auto"/>
          <w:sz w:val="32"/>
          <w:szCs w:val="32"/>
          <w:lang w:val="en-US" w:eastAsia="zh-CN"/>
        </w:rPr>
        <w:t>（二）实施演出票务会员制度</w:t>
      </w:r>
    </w:p>
    <w:p>
      <w:pPr>
        <w:numPr>
          <w:ilvl w:val="0"/>
          <w:numId w:val="0"/>
        </w:numPr>
        <w:rPr>
          <w:rFonts w:hint="eastAsia" w:ascii="仿宋_GB2312" w:hAnsi="仿宋_GB2312" w:eastAsia="仿宋_GB2312" w:cs="仿宋_GB2312"/>
          <w:b w:val="0"/>
          <w:bCs w:val="0"/>
          <w:i w:val="0"/>
          <w:iCs w:val="0"/>
          <w:color w:val="auto"/>
          <w:kern w:val="2"/>
          <w:sz w:val="32"/>
          <w:szCs w:val="32"/>
          <w:lang w:val="en-US" w:eastAsia="zh-CN" w:bidi="ar-SA"/>
        </w:rPr>
      </w:pPr>
      <w:r>
        <w:rPr>
          <w:rFonts w:hint="eastAsia" w:ascii="仿宋_GB2312" w:hAnsi="仿宋_GB2312" w:eastAsia="仿宋_GB2312" w:cs="仿宋_GB2312"/>
          <w:b/>
          <w:bCs/>
          <w:i w:val="0"/>
          <w:iCs w:val="0"/>
          <w:color w:val="auto"/>
          <w:sz w:val="32"/>
          <w:szCs w:val="32"/>
          <w:lang w:val="en-US" w:eastAsia="zh-CN"/>
        </w:rPr>
        <w:t xml:space="preserve">    </w:t>
      </w:r>
      <w:r>
        <w:rPr>
          <w:rFonts w:hint="eastAsia" w:ascii="仿宋_GB2312" w:hAnsi="仿宋_GB2312" w:eastAsia="仿宋_GB2312" w:cs="仿宋_GB2312"/>
          <w:b w:val="0"/>
          <w:bCs w:val="0"/>
          <w:i w:val="0"/>
          <w:iCs w:val="0"/>
          <w:color w:val="auto"/>
          <w:kern w:val="2"/>
          <w:sz w:val="32"/>
          <w:szCs w:val="32"/>
          <w:lang w:val="en-US" w:eastAsia="zh-CN" w:bidi="ar-SA"/>
        </w:rPr>
        <w:t>在互联网时代，传统行业都在强调与用户之间的联系，演出行业站在时代进步的角度，顺应数字化的市场消费习惯，会员制度在为观众带来切实优惠的同时，也能为演出票务公司、剧院等主体单位提供新的经营之路。会员制度一方面可以激励院团的演职人员要潜心做好本职工作，打造磨砺出更多的精品呈献给观众，以感谢他们对艺术的支持与追求。另一方面，疫情影响下的演出行业收到了较大的经济冲击，会员制度的引入可以使一部分资金在演出前提前回笼，为相关演出提供资金保障。</w:t>
      </w:r>
    </w:p>
    <w:p>
      <w:pPr>
        <w:numPr>
          <w:ilvl w:val="0"/>
          <w:numId w:val="0"/>
        </w:numPr>
        <w:ind w:firstLine="643" w:firstLineChars="200"/>
        <w:rPr>
          <w:rFonts w:hint="eastAsia" w:ascii="仿宋_GB2312" w:hAnsi="仿宋_GB2312" w:eastAsia="仿宋_GB2312" w:cs="仿宋_GB2312"/>
          <w:b/>
          <w:bCs/>
          <w:i w:val="0"/>
          <w:iCs w:val="0"/>
          <w:color w:val="auto"/>
          <w:sz w:val="32"/>
          <w:szCs w:val="32"/>
          <w:lang w:val="en-US" w:eastAsia="zh-CN"/>
        </w:rPr>
      </w:pPr>
      <w:r>
        <w:rPr>
          <w:rFonts w:hint="eastAsia" w:ascii="仿宋_GB2312" w:hAnsi="仿宋_GB2312" w:eastAsia="仿宋_GB2312" w:cs="仿宋_GB2312"/>
          <w:b/>
          <w:bCs/>
          <w:i w:val="0"/>
          <w:iCs w:val="0"/>
          <w:color w:val="auto"/>
          <w:sz w:val="32"/>
          <w:szCs w:val="32"/>
          <w:lang w:val="en-US" w:eastAsia="zh-CN"/>
        </w:rPr>
        <w:t>（三）演出行业去媒介化</w:t>
      </w:r>
    </w:p>
    <w:p>
      <w:pPr>
        <w:widowControl w:val="0"/>
        <w:numPr>
          <w:ilvl w:val="0"/>
          <w:numId w:val="0"/>
        </w:numPr>
        <w:ind w:firstLine="640" w:firstLineChars="200"/>
        <w:jc w:val="both"/>
        <w:rPr>
          <w:rFonts w:hint="eastAsia" w:ascii="仿宋_GB2312" w:hAnsi="仿宋_GB2312" w:eastAsia="仿宋_GB2312" w:cs="仿宋_GB2312"/>
          <w:b w:val="0"/>
          <w:bCs w:val="0"/>
          <w:i w:val="0"/>
          <w:iCs w:val="0"/>
          <w:color w:val="auto"/>
          <w:kern w:val="2"/>
          <w:sz w:val="32"/>
          <w:szCs w:val="32"/>
          <w:lang w:val="en-US" w:eastAsia="zh-CN" w:bidi="ar-SA"/>
        </w:rPr>
      </w:pPr>
      <w:r>
        <w:rPr>
          <w:rFonts w:hint="eastAsia" w:ascii="仿宋_GB2312" w:hAnsi="仿宋_GB2312" w:eastAsia="仿宋_GB2312" w:cs="仿宋_GB2312"/>
          <w:b w:val="0"/>
          <w:bCs w:val="0"/>
          <w:i w:val="0"/>
          <w:iCs w:val="0"/>
          <w:color w:val="auto"/>
          <w:kern w:val="2"/>
          <w:sz w:val="32"/>
          <w:szCs w:val="32"/>
          <w:lang w:val="en-US" w:eastAsia="zh-CN" w:bidi="ar-SA"/>
        </w:rPr>
        <w:t>在国内疫情防控常态化，全球经济下行的环境下，随着数字产业的发展，演出票务行业像诸多传统行业一样为了缩减开支逐渐出现“去媒介化”趋势，未来票务概念或将迎来新的体系。演出票务本身是观众在观演某个演出剧目的凭证，随着移动终端的发展，将出现更为新颖的身份验证手段。“验票”这一传统的信息确认方式或将被时代所淘汰。如今观众可以凭借移动终端、随身携带的物品甚至是指纹和视网膜验证都可以作为凭证认证入场。在线票务终将泛化为内容消费或服务类消费的电子商务模式。而随着传统行业的进一步互联网化，线上渗透率的提升，或将加速传统行业去媒介化的趋势，这一趋势虽然较缓慢，但是仍不容小觑。</w:t>
      </w:r>
    </w:p>
    <w:p>
      <w:pPr>
        <w:pStyle w:val="3"/>
        <w:spacing w:after="360" w:line="415" w:lineRule="auto"/>
        <w:jc w:val="both"/>
        <w:rPr>
          <w:rFonts w:hint="eastAsia" w:ascii="方正小标宋简体" w:hAnsi="方正小标宋简体" w:eastAsia="方正小标宋简体" w:cs="方正小标宋简体"/>
          <w:b w:val="0"/>
          <w:bCs w:val="0"/>
          <w:color w:val="auto"/>
          <w:sz w:val="44"/>
          <w:szCs w:val="44"/>
        </w:rPr>
      </w:pPr>
    </w:p>
    <w:p>
      <w:pPr>
        <w:rPr>
          <w:rFonts w:hint="eastAsia" w:ascii="方正小标宋简体" w:hAnsi="方正小标宋简体" w:eastAsia="方正小标宋简体" w:cs="方正小标宋简体"/>
          <w:b w:val="0"/>
          <w:bCs w:val="0"/>
          <w:color w:val="auto"/>
          <w:sz w:val="44"/>
          <w:szCs w:val="44"/>
        </w:rPr>
      </w:pPr>
    </w:p>
    <w:p>
      <w:pPr>
        <w:pStyle w:val="2"/>
        <w:rPr>
          <w:rFonts w:hint="eastAsia" w:ascii="方正小标宋简体" w:hAnsi="方正小标宋简体" w:eastAsia="方正小标宋简体" w:cs="方正小标宋简体"/>
          <w:b w:val="0"/>
          <w:bCs w:val="0"/>
          <w:color w:val="auto"/>
          <w:sz w:val="44"/>
          <w:szCs w:val="44"/>
        </w:rPr>
      </w:pPr>
    </w:p>
    <w:p>
      <w:pPr>
        <w:rPr>
          <w:rFonts w:hint="eastAsia" w:ascii="方正小标宋简体" w:hAnsi="方正小标宋简体" w:eastAsia="方正小标宋简体" w:cs="方正小标宋简体"/>
          <w:b w:val="0"/>
          <w:bCs w:val="0"/>
          <w:color w:val="auto"/>
          <w:sz w:val="44"/>
          <w:szCs w:val="44"/>
        </w:rPr>
      </w:pPr>
    </w:p>
    <w:p>
      <w:pPr>
        <w:pStyle w:val="2"/>
        <w:rPr>
          <w:rFonts w:hint="eastAsia" w:ascii="方正小标宋简体" w:hAnsi="方正小标宋简体" w:eastAsia="方正小标宋简体" w:cs="方正小标宋简体"/>
          <w:b w:val="0"/>
          <w:bCs w:val="0"/>
          <w:color w:val="auto"/>
          <w:sz w:val="44"/>
          <w:szCs w:val="44"/>
        </w:rPr>
      </w:pPr>
    </w:p>
    <w:p>
      <w:pPr>
        <w:rPr>
          <w:rFonts w:hint="eastAsia" w:ascii="方正小标宋简体" w:hAnsi="方正小标宋简体" w:eastAsia="方正小标宋简体" w:cs="方正小标宋简体"/>
          <w:b w:val="0"/>
          <w:bCs w:val="0"/>
          <w:color w:val="auto"/>
          <w:sz w:val="44"/>
          <w:szCs w:val="44"/>
        </w:rPr>
      </w:pPr>
    </w:p>
    <w:p>
      <w:pPr>
        <w:pStyle w:val="2"/>
        <w:rPr>
          <w:rFonts w:hint="eastAsia" w:ascii="方正小标宋简体" w:hAnsi="方正小标宋简体" w:eastAsia="方正小标宋简体" w:cs="方正小标宋简体"/>
          <w:b w:val="0"/>
          <w:bCs w:val="0"/>
          <w:color w:val="auto"/>
          <w:sz w:val="44"/>
          <w:szCs w:val="44"/>
        </w:rPr>
      </w:pPr>
    </w:p>
    <w:p>
      <w:pPr>
        <w:rPr>
          <w:rFonts w:hint="eastAsia" w:ascii="方正小标宋简体" w:hAnsi="方正小标宋简体" w:eastAsia="方正小标宋简体" w:cs="方正小标宋简体"/>
          <w:b w:val="0"/>
          <w:bCs w:val="0"/>
          <w:color w:val="auto"/>
          <w:sz w:val="44"/>
          <w:szCs w:val="44"/>
        </w:rPr>
      </w:pPr>
    </w:p>
    <w:p>
      <w:pPr>
        <w:pStyle w:val="2"/>
        <w:rPr>
          <w:rFonts w:hint="eastAsia" w:ascii="方正小标宋简体" w:hAnsi="方正小标宋简体" w:eastAsia="方正小标宋简体" w:cs="方正小标宋简体"/>
          <w:b w:val="0"/>
          <w:bCs w:val="0"/>
          <w:color w:val="auto"/>
          <w:sz w:val="44"/>
          <w:szCs w:val="44"/>
        </w:rPr>
      </w:pPr>
    </w:p>
    <w:p>
      <w:pPr>
        <w:rPr>
          <w:rFonts w:hint="eastAsia"/>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pStyle w:val="3"/>
        <w:spacing w:after="360" w:line="415" w:lineRule="auto"/>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b w:val="0"/>
          <w:bCs w:val="0"/>
          <w:color w:val="auto"/>
          <w:sz w:val="44"/>
          <w:szCs w:val="44"/>
        </w:rPr>
        <w:t>第</w:t>
      </w:r>
      <w:r>
        <w:rPr>
          <w:rFonts w:hint="eastAsia" w:ascii="方正小标宋简体" w:hAnsi="方正小标宋简体" w:eastAsia="方正小标宋简体" w:cs="方正小标宋简体"/>
          <w:b w:val="0"/>
          <w:bCs w:val="0"/>
          <w:color w:val="auto"/>
          <w:sz w:val="44"/>
          <w:szCs w:val="44"/>
          <w:lang w:val="en-US" w:eastAsia="zh-CN"/>
        </w:rPr>
        <w:t>五</w:t>
      </w:r>
      <w:r>
        <w:rPr>
          <w:rFonts w:hint="eastAsia" w:ascii="方正小标宋简体" w:hAnsi="方正小标宋简体" w:eastAsia="方正小标宋简体" w:cs="方正小标宋简体"/>
          <w:b w:val="0"/>
          <w:bCs w:val="0"/>
          <w:color w:val="auto"/>
          <w:sz w:val="44"/>
          <w:szCs w:val="44"/>
        </w:rPr>
        <w:t>章</w:t>
      </w:r>
      <w:r>
        <w:rPr>
          <w:rFonts w:hint="eastAsia" w:ascii="方正小标宋简体" w:hAnsi="方正小标宋简体" w:eastAsia="方正小标宋简体" w:cs="方正小标宋简体"/>
          <w:b w:val="0"/>
          <w:bCs w:val="0"/>
          <w:color w:val="auto"/>
          <w:sz w:val="44"/>
          <w:szCs w:val="44"/>
          <w:lang w:val="en-US" w:eastAsia="zh-CN"/>
        </w:rPr>
        <w:t xml:space="preserve">  四川省</w:t>
      </w:r>
      <w:r>
        <w:rPr>
          <w:rFonts w:hint="eastAsia" w:ascii="方正小标宋简体" w:hAnsi="方正小标宋简体" w:eastAsia="方正小标宋简体" w:cs="方正小标宋简体"/>
          <w:b w:val="0"/>
          <w:bCs w:val="0"/>
          <w:color w:val="auto"/>
          <w:sz w:val="44"/>
          <w:szCs w:val="44"/>
        </w:rPr>
        <w:t>文艺表演团体状况分析</w:t>
      </w:r>
    </w:p>
    <w:p>
      <w:pPr>
        <w:ind w:firstLine="640" w:firstLineChars="200"/>
        <w:jc w:val="both"/>
        <w:rPr>
          <w:rFonts w:hint="eastAsia" w:ascii="黑体" w:hAnsi="黑体" w:eastAsia="黑体" w:cs="黑体"/>
          <w:sz w:val="32"/>
          <w:szCs w:val="32"/>
          <w:highlight w:val="none"/>
          <w:lang w:val="en-US" w:eastAsia="zh-CN"/>
        </w:rPr>
      </w:pPr>
      <w:bookmarkStart w:id="0" w:name="_Toc245558585"/>
      <w:bookmarkStart w:id="1" w:name="_Toc213754283"/>
      <w:r>
        <w:rPr>
          <w:rFonts w:hint="eastAsia" w:ascii="黑体" w:hAnsi="黑体" w:eastAsia="黑体" w:cs="黑体"/>
          <w:sz w:val="32"/>
          <w:szCs w:val="32"/>
          <w:highlight w:val="none"/>
          <w:lang w:val="en-US" w:eastAsia="zh-CN"/>
        </w:rPr>
        <w:t>一、四川省文艺表演团体的基本情况</w:t>
      </w:r>
      <w:bookmarkEnd w:id="0"/>
      <w:bookmarkEnd w:id="1"/>
    </w:p>
    <w:p>
      <w:pPr>
        <w:ind w:firstLine="643" w:firstLineChars="200"/>
        <w:jc w:val="both"/>
        <w:rPr>
          <w:rFonts w:hint="eastAsia" w:ascii="仿宋_GB2312" w:hAnsi="仿宋_GB2312" w:eastAsia="仿宋_GB2312" w:cs="仿宋_GB2312"/>
          <w:b/>
          <w:bCs/>
          <w:sz w:val="32"/>
          <w:szCs w:val="32"/>
          <w:highlight w:val="none"/>
          <w:lang w:val="en-US" w:eastAsia="zh-CN"/>
        </w:rPr>
      </w:pPr>
      <w:bookmarkStart w:id="2" w:name="_Toc245558586"/>
      <w:r>
        <w:rPr>
          <w:rFonts w:hint="eastAsia" w:ascii="仿宋_GB2312" w:hAnsi="仿宋_GB2312" w:eastAsia="仿宋_GB2312" w:cs="仿宋_GB2312"/>
          <w:b/>
          <w:bCs/>
          <w:sz w:val="32"/>
          <w:szCs w:val="32"/>
          <w:highlight w:val="none"/>
          <w:lang w:val="en-US" w:eastAsia="zh-CN"/>
        </w:rPr>
        <w:t>1. 经济性质：国有团体占7.24%，民营团体占92.76%</w:t>
      </w:r>
      <w:bookmarkEnd w:id="2"/>
    </w:p>
    <w:p>
      <w:p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根据四川省文化和旅游厅、四川省演出娱乐行业协会的统计，</w:t>
      </w:r>
      <w:r>
        <w:rPr>
          <w:rFonts w:hint="eastAsia" w:ascii="仿宋_GB2312" w:hAnsi="仿宋_GB2312" w:eastAsia="仿宋_GB2312" w:cs="仿宋_GB2312"/>
          <w:sz w:val="32"/>
          <w:szCs w:val="32"/>
          <w:lang w:val="en-US" w:eastAsia="zh-CN"/>
        </w:rPr>
        <w:t>截止2021年末，全省文艺表演团体663个，较2020年减少62个，下降8.55%。其中国有企事业单位性质的48家，</w:t>
      </w:r>
      <w:r>
        <w:rPr>
          <w:rFonts w:hint="eastAsia" w:ascii="仿宋_GB2312" w:hAnsi="仿宋_GB2312" w:eastAsia="仿宋_GB2312" w:cs="仿宋_GB2312"/>
          <w:sz w:val="32"/>
          <w:szCs w:val="32"/>
          <w:lang w:val="en-US" w:eastAsia="zh-Hans"/>
        </w:rPr>
        <w:t>占总数的</w:t>
      </w:r>
      <w:r>
        <w:rPr>
          <w:rFonts w:hint="default" w:ascii="仿宋_GB2312" w:hAnsi="仿宋_GB2312" w:eastAsia="仿宋_GB2312" w:cs="仿宋_GB2312"/>
          <w:sz w:val="32"/>
          <w:szCs w:val="32"/>
          <w:lang w:val="en-US" w:eastAsia="zh-Hans"/>
        </w:rPr>
        <w:t>7.</w:t>
      </w: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val="en-US" w:eastAsia="zh-Hans"/>
        </w:rPr>
        <w:t>4%</w:t>
      </w:r>
      <w:r>
        <w:rPr>
          <w:rFonts w:hint="eastAsia" w:ascii="仿宋_GB2312" w:hAnsi="仿宋_GB2312" w:eastAsia="仿宋_GB2312" w:cs="仿宋_GB2312"/>
          <w:sz w:val="32"/>
          <w:szCs w:val="32"/>
          <w:lang w:val="en-US" w:eastAsia="zh-Hans"/>
        </w:rPr>
        <w:t>；</w:t>
      </w:r>
      <w:r>
        <w:rPr>
          <w:rFonts w:hint="eastAsia" w:ascii="仿宋_GB2312" w:hAnsi="仿宋_GB2312" w:eastAsia="仿宋_GB2312" w:cs="仿宋_GB2312"/>
          <w:sz w:val="32"/>
          <w:szCs w:val="32"/>
          <w:lang w:val="en-US" w:eastAsia="zh-CN"/>
        </w:rPr>
        <w:t>民营性质的</w:t>
      </w:r>
      <w:r>
        <w:rPr>
          <w:rFonts w:hint="default"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en-US" w:eastAsia="zh-CN"/>
        </w:rPr>
        <w:t>15家</w:t>
      </w:r>
      <w:r>
        <w:rPr>
          <w:rFonts w:hint="eastAsia" w:ascii="仿宋_GB2312" w:hAnsi="仿宋_GB2312" w:eastAsia="仿宋_GB2312" w:cs="仿宋_GB2312"/>
          <w:sz w:val="32"/>
          <w:szCs w:val="32"/>
          <w:lang w:val="en-US" w:eastAsia="zh-Hans"/>
        </w:rPr>
        <w:t>，占总数的</w:t>
      </w:r>
      <w:r>
        <w:rPr>
          <w:rFonts w:hint="default" w:ascii="仿宋_GB2312" w:hAnsi="仿宋_GB2312" w:eastAsia="仿宋_GB2312" w:cs="仿宋_GB2312"/>
          <w:sz w:val="32"/>
          <w:szCs w:val="32"/>
          <w:lang w:val="en-US" w:eastAsia="zh-Hans"/>
        </w:rPr>
        <w:t>92.</w:t>
      </w:r>
      <w:r>
        <w:rPr>
          <w:rFonts w:hint="eastAsia" w:ascii="仿宋_GB2312" w:hAnsi="仿宋_GB2312" w:eastAsia="仿宋_GB2312" w:cs="仿宋_GB2312"/>
          <w:sz w:val="32"/>
          <w:szCs w:val="32"/>
          <w:lang w:val="en-US" w:eastAsia="zh-CN"/>
        </w:rPr>
        <w:t>7</w:t>
      </w:r>
      <w:r>
        <w:rPr>
          <w:rFonts w:hint="default" w:ascii="仿宋_GB2312" w:hAnsi="仿宋_GB2312" w:eastAsia="仿宋_GB2312" w:cs="仿宋_GB2312"/>
          <w:sz w:val="32"/>
          <w:szCs w:val="32"/>
          <w:lang w:val="en-US" w:eastAsia="zh-Hans"/>
        </w:rPr>
        <w:t>6%</w:t>
      </w:r>
      <w:r>
        <w:rPr>
          <w:rFonts w:hint="eastAsia" w:ascii="仿宋_GB2312" w:hAnsi="仿宋_GB2312" w:eastAsia="仿宋_GB2312" w:cs="仿宋_GB2312"/>
          <w:sz w:val="32"/>
          <w:szCs w:val="32"/>
          <w:lang w:val="en-US" w:eastAsia="zh-CN"/>
        </w:rPr>
        <w:t>；从业人数13397人，比上年增加1109人，增长9.03%。其中，国有从业人员3016人，占总数的22.51%；民营从业人员10381人，占总数的77.49%。</w:t>
      </w:r>
      <w:r>
        <w:rPr>
          <w:rFonts w:hint="eastAsia" w:ascii="仿宋_GB2312" w:hAnsi="仿宋_GB2312" w:eastAsia="仿宋_GB2312" w:cs="仿宋_GB2312"/>
          <w:sz w:val="32"/>
          <w:szCs w:val="32"/>
          <w:highlight w:val="none"/>
          <w:lang w:val="en-US" w:eastAsia="zh-CN"/>
        </w:rPr>
        <w:t>统计数据可能并未将所有四川省文艺表演团体包括在内，但基本反映了四川省文艺表演团体的现状。</w:t>
      </w:r>
    </w:p>
    <w:p>
      <w:pPr>
        <w:spacing w:before="156" w:beforeLines="50" w:after="156" w:afterLines="50"/>
        <w:ind w:right="105" w:rightChars="50"/>
        <w:jc w:val="center"/>
      </w:pPr>
      <w:r>
        <w:drawing>
          <wp:inline distT="0" distB="0" distL="114300" distR="114300">
            <wp:extent cx="4943475" cy="2894965"/>
            <wp:effectExtent l="4445" t="4445" r="5080" b="15240"/>
            <wp:docPr id="19" name="图表 14" descr="7b0a202020202263686172745265734964223a202232303335323639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before="156" w:beforeLines="50" w:after="156" w:afterLines="50"/>
        <w:ind w:right="105" w:rightChars="50"/>
        <w:jc w:val="center"/>
        <w:rPr>
          <w:rFonts w:hint="eastAsia"/>
          <w:lang w:val="en-US" w:eastAsia="zh-CN"/>
        </w:rPr>
      </w:pPr>
      <w:r>
        <w:rPr>
          <w:rFonts w:hint="eastAsia" w:ascii="宋体" w:hAnsi="宋体" w:eastAsia="宋体" w:cs="宋体"/>
          <w:b/>
          <w:bCs/>
          <w:sz w:val="20"/>
          <w:szCs w:val="20"/>
          <w:lang w:val="en-US" w:eastAsia="zh-CN"/>
        </w:rPr>
        <w:t xml:space="preserve">图表5-1  </w:t>
      </w:r>
      <w:r>
        <w:rPr>
          <w:rFonts w:hint="eastAsia" w:ascii="宋体" w:hAnsi="宋体" w:cs="宋体"/>
          <w:b/>
          <w:bCs/>
          <w:sz w:val="20"/>
          <w:szCs w:val="20"/>
          <w:lang w:val="en-US" w:eastAsia="zh-CN"/>
        </w:rPr>
        <w:t>2020年、2021年</w:t>
      </w:r>
      <w:r>
        <w:rPr>
          <w:rFonts w:hint="eastAsia" w:ascii="宋体" w:hAnsi="宋体" w:eastAsia="宋体" w:cs="宋体"/>
          <w:b/>
          <w:bCs/>
          <w:sz w:val="20"/>
          <w:szCs w:val="20"/>
          <w:lang w:val="en-US" w:eastAsia="zh-CN"/>
        </w:rPr>
        <w:t>四川</w:t>
      </w:r>
      <w:r>
        <w:rPr>
          <w:rFonts w:hint="eastAsia" w:ascii="宋体" w:hAnsi="宋体" w:cs="宋体"/>
          <w:b/>
          <w:bCs/>
          <w:sz w:val="20"/>
          <w:szCs w:val="20"/>
          <w:lang w:val="en-US" w:eastAsia="zh-CN"/>
        </w:rPr>
        <w:t>省文艺表演团体数量、从业人数对比</w:t>
      </w:r>
    </w:p>
    <w:p>
      <w:pPr>
        <w:pStyle w:val="2"/>
      </w:pPr>
    </w:p>
    <w:p>
      <w:pPr>
        <w:spacing w:before="156" w:beforeLines="50" w:after="156" w:afterLines="50"/>
        <w:ind w:right="105" w:rightChars="50" w:firstLine="420" w:firstLineChars="200"/>
        <w:jc w:val="center"/>
      </w:pPr>
      <w:r>
        <w:drawing>
          <wp:inline distT="0" distB="0" distL="114300" distR="114300">
            <wp:extent cx="4257675" cy="2608580"/>
            <wp:effectExtent l="4445" t="4445" r="5080" b="1587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before="156" w:beforeLines="50" w:after="156" w:afterLines="50"/>
        <w:ind w:right="105" w:rightChars="50" w:firstLine="400" w:firstLineChars="200"/>
        <w:jc w:val="center"/>
      </w:pPr>
      <w:r>
        <w:rPr>
          <w:rFonts w:hint="eastAsia" w:ascii="宋体" w:hAnsi="宋体" w:eastAsia="宋体" w:cs="宋体"/>
          <w:b/>
          <w:bCs/>
          <w:sz w:val="20"/>
          <w:szCs w:val="20"/>
          <w:lang w:val="en-US" w:eastAsia="zh-CN"/>
        </w:rPr>
        <w:t>图表5-</w:t>
      </w:r>
      <w:r>
        <w:rPr>
          <w:rFonts w:hint="eastAsia" w:ascii="宋体" w:hAnsi="宋体" w:cs="宋体"/>
          <w:b/>
          <w:bCs/>
          <w:sz w:val="20"/>
          <w:szCs w:val="20"/>
          <w:lang w:val="en-US" w:eastAsia="zh-CN"/>
        </w:rPr>
        <w:t>2</w:t>
      </w:r>
      <w:r>
        <w:rPr>
          <w:rFonts w:hint="eastAsia" w:ascii="宋体" w:hAnsi="宋体" w:eastAsia="宋体" w:cs="宋体"/>
          <w:b/>
          <w:bCs/>
          <w:sz w:val="20"/>
          <w:szCs w:val="20"/>
          <w:lang w:val="en-US" w:eastAsia="zh-CN"/>
        </w:rPr>
        <w:t xml:space="preserve">  四川省文艺表演团体构成（按经济性质划分）</w:t>
      </w:r>
    </w:p>
    <w:p>
      <w:p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Hans"/>
        </w:rPr>
        <w:t>四川省主要国有文艺表演团体</w:t>
      </w:r>
      <w:r>
        <w:rPr>
          <w:rFonts w:hint="eastAsia" w:ascii="仿宋_GB2312" w:hAnsi="仿宋_GB2312" w:eastAsia="仿宋_GB2312" w:cs="仿宋_GB2312"/>
          <w:sz w:val="32"/>
          <w:szCs w:val="32"/>
          <w:highlight w:val="none"/>
          <w:lang w:val="en-US" w:eastAsia="zh-CN"/>
        </w:rPr>
        <w:t>构成主要是四川省属、成都市属、地市团体三类。</w:t>
      </w:r>
    </w:p>
    <w:p>
      <w:pPr>
        <w:ind w:firstLine="640" w:firstLineChars="200"/>
        <w:jc w:val="both"/>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省属国有团体包括但不限于</w:t>
      </w:r>
      <w:r>
        <w:rPr>
          <w:rFonts w:hint="eastAsia" w:ascii="仿宋_GB2312" w:hAnsi="仿宋_GB2312" w:eastAsia="仿宋_GB2312" w:cs="仿宋_GB2312"/>
          <w:sz w:val="32"/>
          <w:szCs w:val="32"/>
          <w:highlight w:val="none"/>
          <w:lang w:val="en-US" w:eastAsia="zh-Hans"/>
        </w:rPr>
        <w:t>四川人民艺术剧院有限责任公司</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四川省歌舞剧院有限责任公司</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四川省川剧院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四川省曲艺研究院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四川省交响乐团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四川爱乐乐团</w:t>
      </w:r>
      <w:r>
        <w:rPr>
          <w:rFonts w:hint="eastAsia" w:ascii="仿宋_GB2312" w:hAnsi="仿宋_GB2312" w:eastAsia="仿宋_GB2312" w:cs="仿宋_GB2312"/>
          <w:sz w:val="32"/>
          <w:szCs w:val="32"/>
          <w:highlight w:val="none"/>
          <w:lang w:val="en-US" w:eastAsia="zh-CN"/>
        </w:rPr>
        <w:t>等国有企事业文化单位；成都市属国有团体包括但不限于</w:t>
      </w:r>
      <w:r>
        <w:rPr>
          <w:rFonts w:hint="eastAsia" w:ascii="仿宋_GB2312" w:hAnsi="仿宋_GB2312" w:eastAsia="仿宋_GB2312" w:cs="仿宋_GB2312"/>
          <w:sz w:val="32"/>
          <w:szCs w:val="32"/>
          <w:highlight w:val="none"/>
          <w:lang w:val="en-US" w:eastAsia="zh-Hans"/>
        </w:rPr>
        <w:t>成都市川剧研究院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成都京剧研究院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成都艺术剧院有限责任公司</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成都交响乐团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成都非遗保护中心民乐团、木偶团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曲艺团</w:t>
      </w:r>
      <w:r>
        <w:rPr>
          <w:rFonts w:hint="eastAsia" w:ascii="仿宋_GB2312" w:hAnsi="仿宋_GB2312" w:eastAsia="仿宋_GB2312" w:cs="仿宋_GB2312"/>
          <w:sz w:val="32"/>
          <w:szCs w:val="32"/>
          <w:highlight w:val="none"/>
          <w:lang w:val="en-US" w:eastAsia="zh-CN"/>
        </w:rPr>
        <w:t>等国有企事业单位；地市国有团体包括但不限于</w:t>
      </w:r>
      <w:r>
        <w:rPr>
          <w:rFonts w:hint="eastAsia" w:ascii="仿宋_GB2312" w:hAnsi="仿宋_GB2312" w:eastAsia="仿宋_GB2312" w:cs="仿宋_GB2312"/>
          <w:sz w:val="32"/>
          <w:szCs w:val="32"/>
          <w:highlight w:val="none"/>
          <w:lang w:val="en-US" w:eastAsia="zh-Hans"/>
        </w:rPr>
        <w:t>绵阳市艺术剧院有限责任公司</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南充市歌舞剧院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南充市杂技团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南充市川剧团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南充大木偶剧院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巴中市川剧院</w:t>
      </w:r>
      <w:r>
        <w:rPr>
          <w:rFonts w:hint="eastAsia" w:ascii="仿宋_GB2312" w:hAnsi="仿宋_GB2312" w:eastAsia="仿宋_GB2312" w:cs="仿宋_GB2312"/>
          <w:sz w:val="32"/>
          <w:szCs w:val="32"/>
          <w:highlight w:val="none"/>
          <w:lang w:val="en-US" w:eastAsia="zh-CN"/>
        </w:rPr>
        <w:t>、乐山文广演艺有限公司、</w:t>
      </w:r>
      <w:r>
        <w:rPr>
          <w:rFonts w:hint="eastAsia" w:ascii="仿宋_GB2312" w:hAnsi="仿宋_GB2312" w:eastAsia="仿宋_GB2312" w:cs="仿宋_GB2312"/>
          <w:sz w:val="32"/>
          <w:szCs w:val="32"/>
          <w:highlight w:val="none"/>
          <w:lang w:val="en-US" w:eastAsia="zh-Hans"/>
        </w:rPr>
        <w:t>内江市川剧团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资中木偶剧团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攀枝花艺术剧院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达州市艺术剧院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自贡歌舞曲艺演艺有限责任公司</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自贡杂技团演艺有限公司</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眉山市歌舞剧院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遂宁川剧院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德阳川剧团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四川酒都艺术研究院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合江县川剧团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广元市演艺有限责任公司</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安岳县川剧团</w:t>
      </w:r>
      <w:r>
        <w:rPr>
          <w:rFonts w:hint="eastAsia" w:ascii="仿宋_GB2312" w:hAnsi="仿宋_GB2312" w:eastAsia="仿宋_GB2312" w:cs="仿宋_GB2312"/>
          <w:sz w:val="32"/>
          <w:szCs w:val="32"/>
          <w:highlight w:val="none"/>
          <w:lang w:val="en-US" w:eastAsia="zh-CN"/>
        </w:rPr>
        <w:t>、四川甘孜藏族自治州</w:t>
      </w:r>
      <w:r>
        <w:rPr>
          <w:rFonts w:hint="default" w:ascii="仿宋_GB2312" w:hAnsi="仿宋_GB2312" w:eastAsia="仿宋_GB2312" w:cs="仿宋_GB2312"/>
          <w:sz w:val="32"/>
          <w:szCs w:val="32"/>
          <w:highlight w:val="none"/>
          <w:lang w:val="en-US" w:eastAsia="zh-CN"/>
        </w:rPr>
        <w:t>民族歌舞团</w:t>
      </w:r>
      <w:r>
        <w:rPr>
          <w:rFonts w:hint="eastAsia" w:ascii="仿宋_GB2312" w:hAnsi="仿宋_GB2312" w:eastAsia="仿宋_GB2312" w:cs="仿宋_GB2312"/>
          <w:sz w:val="32"/>
          <w:szCs w:val="32"/>
          <w:highlight w:val="none"/>
          <w:lang w:val="en-US" w:eastAsia="zh-CN"/>
        </w:rPr>
        <w:t>、阿坝</w:t>
      </w:r>
      <w:r>
        <w:rPr>
          <w:rFonts w:hint="default" w:ascii="仿宋_GB2312" w:hAnsi="仿宋_GB2312" w:eastAsia="仿宋_GB2312" w:cs="仿宋_GB2312"/>
          <w:sz w:val="32"/>
          <w:szCs w:val="32"/>
          <w:highlight w:val="none"/>
          <w:lang w:val="en-US" w:eastAsia="zh-CN"/>
        </w:rPr>
        <w:t>藏族羌族自治州民族歌舞团</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Hans"/>
        </w:rPr>
        <w:t>四川</w:t>
      </w:r>
      <w:r>
        <w:rPr>
          <w:rFonts w:hint="eastAsia" w:ascii="仿宋_GB2312" w:hAnsi="仿宋_GB2312" w:eastAsia="仿宋_GB2312" w:cs="仿宋_GB2312"/>
          <w:sz w:val="32"/>
          <w:szCs w:val="32"/>
          <w:highlight w:val="none"/>
          <w:lang w:val="en-US" w:eastAsia="zh-CN"/>
        </w:rPr>
        <w:t>省</w:t>
      </w:r>
      <w:r>
        <w:rPr>
          <w:rFonts w:hint="default" w:ascii="仿宋_GB2312" w:hAnsi="仿宋_GB2312" w:eastAsia="仿宋_GB2312" w:cs="仿宋_GB2312"/>
          <w:sz w:val="32"/>
          <w:szCs w:val="32"/>
          <w:highlight w:val="none"/>
          <w:lang w:val="en-US" w:eastAsia="zh-CN"/>
        </w:rPr>
        <w:t>凉山彝族自治州歌舞团</w:t>
      </w:r>
      <w:r>
        <w:rPr>
          <w:rFonts w:hint="eastAsia" w:ascii="仿宋_GB2312" w:hAnsi="仿宋_GB2312" w:eastAsia="仿宋_GB2312" w:cs="仿宋_GB2312"/>
          <w:sz w:val="32"/>
          <w:szCs w:val="32"/>
          <w:highlight w:val="none"/>
          <w:lang w:val="en-US" w:eastAsia="zh-CN"/>
        </w:rPr>
        <w:t>等国有企事业单位。</w:t>
      </w:r>
    </w:p>
    <w:p>
      <w:pPr>
        <w:ind w:firstLine="643" w:firstLineChars="200"/>
        <w:jc w:val="both"/>
        <w:rPr>
          <w:rFonts w:hint="eastAsia" w:ascii="仿宋_GB2312" w:hAnsi="仿宋_GB2312" w:eastAsia="仿宋_GB2312" w:cs="仿宋_GB2312"/>
          <w:b/>
          <w:bCs/>
          <w:sz w:val="32"/>
          <w:szCs w:val="32"/>
          <w:highlight w:val="none"/>
          <w:lang w:val="en-US" w:eastAsia="zh-CN"/>
        </w:rPr>
      </w:pPr>
      <w:bookmarkStart w:id="3" w:name="_Toc245558587"/>
      <w:r>
        <w:rPr>
          <w:rFonts w:hint="eastAsia" w:ascii="仿宋_GB2312" w:hAnsi="仿宋_GB2312" w:eastAsia="仿宋_GB2312" w:cs="仿宋_GB2312"/>
          <w:b/>
          <w:bCs/>
          <w:sz w:val="32"/>
          <w:szCs w:val="32"/>
          <w:highlight w:val="none"/>
          <w:lang w:val="en-US" w:eastAsia="zh-CN"/>
        </w:rPr>
        <w:t>2. 表演内容：歌舞类和川剧类团体占据主体</w:t>
      </w:r>
      <w:bookmarkEnd w:id="3"/>
    </w:p>
    <w:p>
      <w:p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说明：本部分内容根据课题组整理的2021年演出数据库分析得出，表演团体的数量与其他口径的统计数据有些出入，但其结构应具有代表意义。表演团体的分类标准以该团体的主要表演项目为准。</w:t>
      </w:r>
    </w:p>
    <w:p>
      <w:p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从表演的内容来看，歌舞类团体占总数的近40.30%，是数目最多的一类团体；</w:t>
      </w:r>
      <w:r>
        <w:rPr>
          <w:rFonts w:hint="eastAsia" w:ascii="仿宋_GB2312" w:hAnsi="仿宋_GB2312" w:eastAsia="仿宋_GB2312" w:cs="仿宋_GB2312"/>
          <w:sz w:val="32"/>
          <w:szCs w:val="32"/>
          <w:highlight w:val="none"/>
          <w:lang w:val="en-US" w:eastAsia="zh-Hans"/>
        </w:rPr>
        <w:t>戏曲</w:t>
      </w:r>
      <w:r>
        <w:rPr>
          <w:rFonts w:hint="eastAsia" w:ascii="仿宋_GB2312" w:hAnsi="仿宋_GB2312" w:eastAsia="仿宋_GB2312" w:cs="仿宋_GB2312"/>
          <w:sz w:val="32"/>
          <w:szCs w:val="32"/>
          <w:highlight w:val="none"/>
          <w:lang w:val="en-US" w:eastAsia="zh-CN"/>
        </w:rPr>
        <w:t>类团体占总数近2</w:t>
      </w:r>
      <w:r>
        <w:rPr>
          <w:rFonts w:hint="default" w:ascii="仿宋_GB2312" w:hAnsi="仿宋_GB2312" w:eastAsia="仿宋_GB2312" w:cs="仿宋_GB2312"/>
          <w:sz w:val="32"/>
          <w:szCs w:val="32"/>
          <w:highlight w:val="none"/>
          <w:lang w:val="en-US" w:eastAsia="zh-CN"/>
        </w:rPr>
        <w:t>4.3</w:t>
      </w:r>
      <w:r>
        <w:rPr>
          <w:rFonts w:hint="eastAsia" w:ascii="仿宋_GB2312" w:hAnsi="仿宋_GB2312" w:eastAsia="仿宋_GB2312" w:cs="仿宋_GB2312"/>
          <w:sz w:val="32"/>
          <w:szCs w:val="32"/>
          <w:highlight w:val="none"/>
          <w:lang w:val="en-US" w:eastAsia="zh-CN"/>
        </w:rPr>
        <w:t>0%</w:t>
      </w:r>
      <w:r>
        <w:rPr>
          <w:rFonts w:hint="eastAsia" w:ascii="仿宋_GB2312" w:hAnsi="仿宋_GB2312" w:eastAsia="仿宋_GB2312" w:cs="仿宋_GB2312"/>
          <w:sz w:val="32"/>
          <w:szCs w:val="32"/>
          <w:highlight w:val="none"/>
          <w:lang w:val="en-US" w:eastAsia="zh-Hans"/>
        </w:rPr>
        <w:t>（其中：川剧类表演团体占</w:t>
      </w:r>
      <w:r>
        <w:rPr>
          <w:rFonts w:hint="default" w:ascii="仿宋_GB2312" w:hAnsi="仿宋_GB2312" w:eastAsia="仿宋_GB2312" w:cs="仿宋_GB2312"/>
          <w:sz w:val="32"/>
          <w:szCs w:val="32"/>
          <w:highlight w:val="none"/>
          <w:lang w:val="en-US" w:eastAsia="zh-Hans"/>
        </w:rPr>
        <w:t>21%</w:t>
      </w:r>
      <w:r>
        <w:rPr>
          <w:rFonts w:hint="eastAsia" w:ascii="仿宋_GB2312" w:hAnsi="仿宋_GB2312" w:eastAsia="仿宋_GB2312" w:cs="仿宋_GB2312"/>
          <w:sz w:val="32"/>
          <w:szCs w:val="32"/>
          <w:highlight w:val="none"/>
          <w:lang w:val="en-US" w:eastAsia="zh-Hans"/>
        </w:rPr>
        <w:t>）</w:t>
      </w:r>
      <w:r>
        <w:rPr>
          <w:rFonts w:hint="eastAsia" w:ascii="仿宋_GB2312" w:hAnsi="仿宋_GB2312" w:eastAsia="仿宋_GB2312" w:cs="仿宋_GB2312"/>
          <w:sz w:val="32"/>
          <w:szCs w:val="32"/>
          <w:highlight w:val="none"/>
          <w:lang w:val="en-US" w:eastAsia="zh-CN"/>
        </w:rPr>
        <w:t>，是仅次于歌舞类的一类团体。其余依次为音乐类（13.50%）、话剧类（10.30%）以及</w:t>
      </w:r>
      <w:r>
        <w:rPr>
          <w:rFonts w:hint="eastAsia" w:ascii="仿宋_GB2312" w:hAnsi="仿宋_GB2312" w:eastAsia="仿宋_GB2312" w:cs="仿宋_GB2312"/>
          <w:sz w:val="32"/>
          <w:szCs w:val="32"/>
          <w:highlight w:val="none"/>
          <w:lang w:val="en-US" w:eastAsia="zh-Hans"/>
        </w:rPr>
        <w:t>曲艺杂技、木偶皮影、儿童剧</w:t>
      </w:r>
      <w:r>
        <w:rPr>
          <w:rFonts w:hint="eastAsia" w:ascii="仿宋_GB2312" w:hAnsi="仿宋_GB2312" w:eastAsia="仿宋_GB2312" w:cs="仿宋_GB2312"/>
          <w:sz w:val="32"/>
          <w:szCs w:val="32"/>
          <w:highlight w:val="none"/>
          <w:lang w:val="en-US" w:eastAsia="zh-CN"/>
        </w:rPr>
        <w:t>类表演团体。</w:t>
      </w:r>
    </w:p>
    <w:p>
      <w:p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话剧类表演团体的扩张与近几年民营团体准入的放开有密切联系，随着国家政策对民营团体的放开，一批民营话剧剧团相继诞生，为话剧市场增添了新鲜血液。这也是近几年话剧市场相对活跃的一个重要因素。</w:t>
      </w:r>
    </w:p>
    <w:p>
      <w:pPr>
        <w:jc w:val="center"/>
        <w:rPr>
          <w:rStyle w:val="19"/>
          <w:rFonts w:hint="eastAsia" w:ascii="华文中宋" w:hAnsi="华文中宋" w:eastAsia="华文中宋"/>
          <w:highlight w:val="none"/>
        </w:rPr>
      </w:pPr>
    </w:p>
    <w:p>
      <w:pPr>
        <w:jc w:val="center"/>
        <w:rPr>
          <w:rStyle w:val="19"/>
          <w:rFonts w:hint="eastAsia" w:ascii="华文中宋" w:hAnsi="华文中宋" w:eastAsia="华文中宋"/>
          <w:highlight w:val="none"/>
        </w:rPr>
      </w:pPr>
    </w:p>
    <w:p>
      <w:pPr>
        <w:jc w:val="center"/>
        <w:rPr>
          <w:rStyle w:val="19"/>
          <w:rFonts w:hint="eastAsia" w:ascii="华文中宋" w:hAnsi="华文中宋" w:eastAsia="华文中宋"/>
          <w:highlight w:val="none"/>
        </w:rPr>
      </w:pPr>
    </w:p>
    <w:p>
      <w:pPr>
        <w:jc w:val="center"/>
        <w:rPr>
          <w:rStyle w:val="19"/>
          <w:rFonts w:hint="eastAsia" w:ascii="华文中宋" w:hAnsi="华文中宋" w:eastAsia="华文中宋"/>
          <w:highlight w:val="none"/>
        </w:rPr>
      </w:pPr>
    </w:p>
    <w:p>
      <w:pPr>
        <w:jc w:val="center"/>
        <w:rPr>
          <w:rStyle w:val="19"/>
          <w:rFonts w:hint="eastAsia" w:ascii="华文中宋" w:hAnsi="华文中宋" w:eastAsia="华文中宋"/>
          <w:highlight w:val="none"/>
        </w:rPr>
      </w:pPr>
    </w:p>
    <w:p>
      <w:pPr>
        <w:jc w:val="center"/>
        <w:rPr>
          <w:rStyle w:val="19"/>
          <w:rFonts w:hint="eastAsia" w:ascii="华文中宋" w:hAnsi="华文中宋" w:eastAsia="华文中宋"/>
          <w:highlight w:val="none"/>
        </w:rPr>
      </w:pPr>
    </w:p>
    <w:p>
      <w:pPr>
        <w:jc w:val="center"/>
        <w:rPr>
          <w:rStyle w:val="19"/>
          <w:rFonts w:hint="eastAsia" w:ascii="华文中宋" w:hAnsi="华文中宋" w:eastAsia="华文中宋"/>
          <w:highlight w:val="none"/>
        </w:rPr>
      </w:pPr>
    </w:p>
    <w:p>
      <w:pPr>
        <w:jc w:val="center"/>
        <w:rPr>
          <w:rStyle w:val="19"/>
          <w:rFonts w:hint="eastAsia" w:ascii="华文中宋" w:hAnsi="华文中宋" w:eastAsia="华文中宋"/>
          <w:highlight w:val="none"/>
        </w:rPr>
      </w:pPr>
    </w:p>
    <w:p>
      <w:pPr>
        <w:jc w:val="center"/>
      </w:pPr>
      <w:r>
        <w:drawing>
          <wp:inline distT="0" distB="0" distL="114300" distR="114300">
            <wp:extent cx="5088890" cy="3146425"/>
            <wp:effectExtent l="4445" t="4445" r="12065" b="11430"/>
            <wp:docPr id="29" name="图表 2" descr="7b0a202020202263686172745265734964223a2022343532363834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cente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5</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3</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val="en-US" w:eastAsia="zh-CN"/>
        </w:rPr>
        <w:t xml:space="preserve"> </w:t>
      </w:r>
      <w:r>
        <w:rPr>
          <w:rStyle w:val="19"/>
          <w:rFonts w:hint="eastAsia" w:ascii="华文中宋" w:hAnsi="华文中宋" w:eastAsia="华文中宋"/>
          <w:highlight w:val="none"/>
        </w:rPr>
        <w:t>20</w:t>
      </w:r>
      <w:r>
        <w:rPr>
          <w:rStyle w:val="19"/>
          <w:rFonts w:hint="eastAsia" w:ascii="华文中宋" w:hAnsi="华文中宋" w:eastAsia="华文中宋"/>
          <w:highlight w:val="none"/>
          <w:lang w:val="en-US" w:eastAsia="zh-CN"/>
        </w:rPr>
        <w:t>21</w:t>
      </w:r>
      <w:r>
        <w:rPr>
          <w:rStyle w:val="19"/>
          <w:rFonts w:hint="eastAsia" w:ascii="华文中宋" w:hAnsi="华文中宋" w:eastAsia="华文中宋"/>
          <w:highlight w:val="none"/>
        </w:rPr>
        <w:t>年</w:t>
      </w:r>
      <w:r>
        <w:rPr>
          <w:rStyle w:val="19"/>
          <w:rFonts w:hint="eastAsia" w:ascii="华文中宋" w:hAnsi="华文中宋" w:eastAsia="华文中宋"/>
          <w:highlight w:val="none"/>
          <w:lang w:val="en-US" w:eastAsia="zh-CN"/>
        </w:rPr>
        <w:t>四川省</w:t>
      </w:r>
      <w:r>
        <w:rPr>
          <w:rStyle w:val="19"/>
          <w:rFonts w:hint="eastAsia" w:ascii="华文中宋" w:hAnsi="华文中宋" w:eastAsia="华文中宋"/>
          <w:highlight w:val="none"/>
        </w:rPr>
        <w:t>参与营业演出的文艺表演团体构成</w:t>
      </w:r>
    </w:p>
    <w:p>
      <w:pPr>
        <w:pStyle w:val="18"/>
        <w:spacing w:after="156" w:afterLines="50"/>
        <w:ind w:left="0" w:leftChars="0" w:firstLine="0" w:firstLineChars="0"/>
        <w:jc w:val="center"/>
        <w:rPr>
          <w:rFonts w:hint="eastAsia" w:ascii="华文中宋" w:hAnsi="华文中宋" w:eastAsia="华文中宋"/>
          <w:highlight w:val="none"/>
        </w:rPr>
      </w:pPr>
    </w:p>
    <w:p>
      <w:pPr>
        <w:numPr>
          <w:ilvl w:val="0"/>
          <w:numId w:val="0"/>
        </w:numPr>
        <w:ind w:firstLine="643" w:firstLineChars="200"/>
        <w:jc w:val="both"/>
        <w:rPr>
          <w:rFonts w:hint="eastAsia" w:ascii="仿宋_GB2312" w:hAnsi="仿宋_GB2312" w:eastAsia="仿宋_GB2312" w:cs="仿宋_GB2312"/>
          <w:b/>
          <w:bCs/>
          <w:sz w:val="32"/>
          <w:szCs w:val="32"/>
          <w:highlight w:val="none"/>
          <w:lang w:val="en-US" w:eastAsia="zh-CN"/>
        </w:rPr>
      </w:pPr>
      <w:bookmarkStart w:id="4" w:name="_Toc245558589"/>
      <w:r>
        <w:rPr>
          <w:rFonts w:hint="eastAsia" w:ascii="仿宋_GB2312" w:hAnsi="仿宋_GB2312" w:eastAsia="仿宋_GB2312" w:cs="仿宋_GB2312"/>
          <w:b/>
          <w:bCs/>
          <w:sz w:val="32"/>
          <w:szCs w:val="32"/>
          <w:highlight w:val="none"/>
          <w:lang w:val="en-US" w:eastAsia="zh-CN"/>
        </w:rPr>
        <w:t>3.演出活跃程度：民营与市属团体占有3/4的演出场次</w:t>
      </w:r>
      <w:bookmarkEnd w:id="4"/>
    </w:p>
    <w:p>
      <w:p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这里的活跃程度主要从演出场次来考察。总体上来看，民营团体和市属团体的活跃度最高，</w:t>
      </w:r>
      <w:r>
        <w:rPr>
          <w:rFonts w:hint="eastAsia" w:ascii="仿宋_GB2312" w:hAnsi="仿宋_GB2312" w:eastAsia="仿宋_GB2312" w:cs="仿宋_GB2312"/>
          <w:sz w:val="32"/>
          <w:szCs w:val="32"/>
          <w:highlight w:val="none"/>
          <w:lang w:val="en-US" w:eastAsia="zh-CN"/>
        </w:rPr>
        <w:t>歌舞类、话剧类、川剧类团体创作较为活跃；四川省表演团体还缺乏产业化的演出模式；大多数的表演团体无法依靠票房收入实现良性增长。</w:t>
      </w:r>
    </w:p>
    <w:p>
      <w:pPr>
        <w:ind w:firstLine="640" w:firstLineChars="200"/>
        <w:jc w:val="both"/>
        <w:rPr>
          <w:rFonts w:hint="eastAsia" w:ascii="仿宋_GB2312" w:hAnsi="仿宋_GB2312" w:eastAsia="仿宋_GB2312" w:cs="仿宋_GB2312"/>
          <w:sz w:val="32"/>
          <w:szCs w:val="32"/>
          <w:highlight w:val="none"/>
          <w:lang w:val="en-US" w:eastAsia="zh-Hans"/>
        </w:rPr>
      </w:pPr>
      <w:r>
        <w:rPr>
          <w:rFonts w:hint="eastAsia" w:ascii="仿宋_GB2312" w:hAnsi="仿宋_GB2312" w:eastAsia="仿宋_GB2312" w:cs="仿宋_GB2312"/>
          <w:sz w:val="32"/>
          <w:szCs w:val="32"/>
          <w:highlight w:val="none"/>
          <w:lang w:val="en-US" w:eastAsia="zh-CN"/>
        </w:rPr>
        <w:t>据课题组统计，</w:t>
      </w:r>
      <w:r>
        <w:rPr>
          <w:rFonts w:hint="eastAsia" w:ascii="仿宋_GB2312" w:hAnsi="仿宋_GB2312" w:eastAsia="仿宋_GB2312" w:cs="仿宋_GB2312"/>
          <w:sz w:val="32"/>
          <w:szCs w:val="32"/>
          <w:highlight w:val="none"/>
          <w:lang w:val="en-US" w:eastAsia="zh-Hans"/>
        </w:rPr>
        <w:t>全省</w:t>
      </w:r>
      <w:r>
        <w:rPr>
          <w:rFonts w:hint="default" w:ascii="仿宋_GB2312" w:hAnsi="仿宋_GB2312" w:eastAsia="仿宋_GB2312" w:cs="仿宋_GB2312"/>
          <w:sz w:val="32"/>
          <w:szCs w:val="32"/>
          <w:highlight w:val="none"/>
          <w:lang w:val="en-US" w:eastAsia="zh-Hans"/>
        </w:rPr>
        <w:t>95%</w:t>
      </w:r>
      <w:r>
        <w:rPr>
          <w:rFonts w:hint="eastAsia" w:ascii="仿宋_GB2312" w:hAnsi="仿宋_GB2312" w:eastAsia="仿宋_GB2312" w:cs="仿宋_GB2312"/>
          <w:sz w:val="32"/>
          <w:szCs w:val="32"/>
          <w:highlight w:val="none"/>
          <w:lang w:val="en-US" w:eastAsia="zh-Hans"/>
        </w:rPr>
        <w:t>以上的团体参与了规模不等的营业性演出。仅有</w:t>
      </w:r>
      <w:r>
        <w:rPr>
          <w:rFonts w:hint="default" w:ascii="仿宋_GB2312" w:hAnsi="仿宋_GB2312" w:eastAsia="仿宋_GB2312" w:cs="仿宋_GB2312"/>
          <w:sz w:val="32"/>
          <w:szCs w:val="32"/>
          <w:highlight w:val="none"/>
          <w:lang w:val="en-US" w:eastAsia="zh-Hans"/>
        </w:rPr>
        <w:t>5%</w:t>
      </w:r>
      <w:r>
        <w:rPr>
          <w:rFonts w:hint="eastAsia" w:ascii="仿宋_GB2312" w:hAnsi="仿宋_GB2312" w:eastAsia="仿宋_GB2312" w:cs="仿宋_GB2312"/>
          <w:sz w:val="32"/>
          <w:szCs w:val="32"/>
          <w:highlight w:val="none"/>
          <w:lang w:val="en-US" w:eastAsia="zh-Hans"/>
        </w:rPr>
        <w:t>的表演团体在</w:t>
      </w:r>
      <w:r>
        <w:rPr>
          <w:rFonts w:hint="default" w:ascii="仿宋_GB2312" w:hAnsi="仿宋_GB2312" w:eastAsia="仿宋_GB2312" w:cs="仿宋_GB2312"/>
          <w:sz w:val="32"/>
          <w:szCs w:val="32"/>
          <w:highlight w:val="none"/>
          <w:lang w:val="en-US" w:eastAsia="zh-Hans"/>
        </w:rPr>
        <w:t>2021</w:t>
      </w:r>
      <w:r>
        <w:rPr>
          <w:rFonts w:hint="eastAsia" w:ascii="仿宋_GB2312" w:hAnsi="仿宋_GB2312" w:eastAsia="仿宋_GB2312" w:cs="仿宋_GB2312"/>
          <w:sz w:val="32"/>
          <w:szCs w:val="32"/>
          <w:highlight w:val="none"/>
          <w:lang w:val="en-US" w:eastAsia="zh-Hans"/>
        </w:rPr>
        <w:t>年单纯通过承接政府走基层惠民演出与企事业单位主办的庆典活动、展会活动等获得经济收入。</w:t>
      </w:r>
    </w:p>
    <w:p>
      <w:pPr>
        <w:ind w:firstLine="640" w:firstLineChars="200"/>
        <w:jc w:val="both"/>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从单个团体的演出场次（不含旅游演艺）来看，2021年演出场次前3名的国有团体依次为</w:t>
      </w:r>
      <w:r>
        <w:rPr>
          <w:rFonts w:hint="eastAsia" w:ascii="仿宋_GB2312" w:hAnsi="仿宋_GB2312" w:eastAsia="仿宋_GB2312" w:cs="仿宋_GB2312"/>
          <w:b w:val="0"/>
          <w:bCs w:val="0"/>
          <w:sz w:val="32"/>
          <w:szCs w:val="32"/>
          <w:highlight w:val="none"/>
          <w:lang w:val="en-US" w:eastAsia="zh-Hans"/>
        </w:rPr>
        <w:t>绵阳市艺术剧院有限责任公司</w:t>
      </w:r>
      <w:r>
        <w:rPr>
          <w:rFonts w:hint="eastAsia" w:ascii="仿宋_GB2312" w:hAnsi="仿宋_GB2312" w:eastAsia="仿宋_GB2312" w:cs="仿宋_GB2312"/>
          <w:b w:val="0"/>
          <w:bCs w:val="0"/>
          <w:sz w:val="32"/>
          <w:szCs w:val="32"/>
          <w:highlight w:val="none"/>
          <w:lang w:val="en-US" w:eastAsia="zh-CN"/>
        </w:rPr>
        <w:t>（185场）、</w:t>
      </w:r>
      <w:r>
        <w:rPr>
          <w:rFonts w:hint="eastAsia" w:ascii="仿宋_GB2312" w:hAnsi="仿宋_GB2312" w:eastAsia="仿宋_GB2312" w:cs="仿宋_GB2312"/>
          <w:b w:val="0"/>
          <w:bCs w:val="0"/>
          <w:sz w:val="32"/>
          <w:szCs w:val="32"/>
          <w:highlight w:val="none"/>
          <w:lang w:val="en-US" w:eastAsia="zh-Hans"/>
        </w:rPr>
        <w:t>成都艺术剧院有限责任公司</w:t>
      </w:r>
      <w:r>
        <w:rPr>
          <w:rFonts w:hint="eastAsia" w:ascii="仿宋_GB2312" w:hAnsi="仿宋_GB2312" w:eastAsia="仿宋_GB2312" w:cs="仿宋_GB2312"/>
          <w:b w:val="0"/>
          <w:bCs w:val="0"/>
          <w:sz w:val="32"/>
          <w:szCs w:val="32"/>
          <w:highlight w:val="none"/>
          <w:lang w:val="en-US" w:eastAsia="zh-CN"/>
        </w:rPr>
        <w:t>（177场），</w:t>
      </w:r>
      <w:r>
        <w:rPr>
          <w:rFonts w:hint="eastAsia" w:ascii="仿宋_GB2312" w:hAnsi="仿宋_GB2312" w:eastAsia="仿宋_GB2312" w:cs="仿宋_GB2312"/>
          <w:b w:val="0"/>
          <w:bCs w:val="0"/>
          <w:sz w:val="32"/>
          <w:szCs w:val="32"/>
          <w:highlight w:val="none"/>
          <w:lang w:val="en-US" w:eastAsia="zh-Hans"/>
        </w:rPr>
        <w:t>四川人民艺术剧院</w:t>
      </w:r>
      <w:r>
        <w:rPr>
          <w:rFonts w:hint="eastAsia" w:ascii="仿宋_GB2312" w:hAnsi="仿宋_GB2312" w:eastAsia="仿宋_GB2312" w:cs="仿宋_GB2312"/>
          <w:b w:val="0"/>
          <w:bCs w:val="0"/>
          <w:sz w:val="32"/>
          <w:szCs w:val="32"/>
          <w:highlight w:val="none"/>
          <w:lang w:val="en-US" w:eastAsia="zh-CN"/>
        </w:rPr>
        <w:t>（110场）和</w:t>
      </w:r>
      <w:r>
        <w:rPr>
          <w:rFonts w:hint="eastAsia" w:ascii="仿宋_GB2312" w:hAnsi="仿宋_GB2312" w:eastAsia="仿宋_GB2312" w:cs="仿宋_GB2312"/>
          <w:b w:val="0"/>
          <w:bCs w:val="0"/>
          <w:sz w:val="32"/>
          <w:szCs w:val="32"/>
          <w:highlight w:val="none"/>
          <w:lang w:val="en-US" w:eastAsia="zh-Hans"/>
        </w:rPr>
        <w:t>四川省曲艺研究院</w:t>
      </w:r>
      <w:r>
        <w:rPr>
          <w:rFonts w:hint="eastAsia" w:ascii="仿宋_GB2312" w:hAnsi="仿宋_GB2312" w:eastAsia="仿宋_GB2312" w:cs="仿宋_GB2312"/>
          <w:b w:val="0"/>
          <w:bCs w:val="0"/>
          <w:sz w:val="32"/>
          <w:szCs w:val="32"/>
          <w:highlight w:val="none"/>
          <w:lang w:val="en-US" w:eastAsia="zh-CN"/>
        </w:rPr>
        <w:t>（110场）并列第三。</w:t>
      </w:r>
    </w:p>
    <w:p>
      <w:pPr>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活跃度排名靠前的演出团体显示出如下几个特征：</w:t>
      </w:r>
    </w:p>
    <w:p>
      <w:pPr>
        <w:ind w:firstLine="643" w:firstLineChars="200"/>
        <w:jc w:val="both"/>
        <w:rPr>
          <w:rFonts w:hint="eastAsia" w:ascii="仿宋_GB2312" w:hAnsi="仿宋_GB2312" w:eastAsia="仿宋_GB2312" w:cs="仿宋_GB2312"/>
          <w:b w:val="0"/>
          <w:bCs w:val="0"/>
          <w:sz w:val="32"/>
          <w:szCs w:val="32"/>
          <w:highlight w:val="none"/>
          <w:u w:val="none"/>
          <w:lang w:val="en-US" w:eastAsia="zh-CN"/>
        </w:rPr>
      </w:pPr>
      <w:r>
        <w:rPr>
          <w:rFonts w:hint="eastAsia" w:ascii="仿宋_GB2312" w:hAnsi="仿宋_GB2312" w:eastAsia="仿宋_GB2312" w:cs="仿宋_GB2312"/>
          <w:b/>
          <w:bCs/>
          <w:sz w:val="32"/>
          <w:szCs w:val="32"/>
          <w:highlight w:val="none"/>
          <w:lang w:val="en-US" w:eastAsia="zh-CN"/>
        </w:rPr>
        <w:t>一是场团合一的团体演出场次较多。</w:t>
      </w:r>
      <w:r>
        <w:rPr>
          <w:rFonts w:hint="eastAsia" w:ascii="仿宋_GB2312" w:hAnsi="仿宋_GB2312" w:eastAsia="仿宋_GB2312" w:cs="仿宋_GB2312"/>
          <w:b w:val="0"/>
          <w:bCs w:val="0"/>
          <w:sz w:val="32"/>
          <w:szCs w:val="32"/>
          <w:highlight w:val="none"/>
          <w:lang w:val="en-US" w:eastAsia="zh-CN"/>
        </w:rPr>
        <w:t>排名前10位的演出团体中，有17个团体是属于场团合一的团体类型（不包含旅游演艺），即这些团体拥有自己的演出场地。</w:t>
      </w:r>
      <w:r>
        <w:rPr>
          <w:rFonts w:hint="eastAsia" w:ascii="仿宋_GB2312" w:hAnsi="仿宋_GB2312" w:eastAsia="仿宋_GB2312" w:cs="仿宋_GB2312"/>
          <w:b w:val="0"/>
          <w:bCs w:val="0"/>
          <w:sz w:val="32"/>
          <w:szCs w:val="32"/>
          <w:highlight w:val="none"/>
          <w:u w:val="none"/>
          <w:lang w:val="en-US" w:eastAsia="zh-CN"/>
        </w:rPr>
        <w:t>例如四川省川剧院、四川省歌舞剧院、四川省人民艺术剧院、成都开心麻花、绵阳市艺术剧院有限责任公司都拥有自己的剧场，演出场地为这些团体的持续演出提供了保障，是其保持较高活跃度的重要因素。</w:t>
      </w:r>
    </w:p>
    <w:p>
      <w:pPr>
        <w:ind w:firstLine="643"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二是歌舞类团体较为活跃。</w:t>
      </w:r>
      <w:r>
        <w:rPr>
          <w:rFonts w:hint="eastAsia" w:ascii="仿宋_GB2312" w:hAnsi="仿宋_GB2312" w:eastAsia="仿宋_GB2312" w:cs="仿宋_GB2312"/>
          <w:b w:val="0"/>
          <w:bCs w:val="0"/>
          <w:sz w:val="32"/>
          <w:szCs w:val="32"/>
          <w:highlight w:val="none"/>
          <w:lang w:val="en-US" w:eastAsia="zh-CN"/>
        </w:rPr>
        <w:t>歌舞类团体占据了较多的席位，包括</w:t>
      </w:r>
      <w:r>
        <w:rPr>
          <w:rFonts w:hint="eastAsia" w:ascii="仿宋_GB2312" w:hAnsi="仿宋_GB2312" w:eastAsia="仿宋_GB2312" w:cs="仿宋_GB2312"/>
          <w:b w:val="0"/>
          <w:bCs w:val="0"/>
          <w:sz w:val="32"/>
          <w:szCs w:val="32"/>
          <w:highlight w:val="none"/>
          <w:lang w:val="en-US" w:eastAsia="zh-Hans"/>
        </w:rPr>
        <w:t>四川省歌舞剧院有限责任公司</w:t>
      </w:r>
      <w:r>
        <w:rPr>
          <w:rFonts w:hint="eastAsia" w:ascii="仿宋_GB2312" w:hAnsi="仿宋_GB2312" w:eastAsia="仿宋_GB2312" w:cs="仿宋_GB2312"/>
          <w:b w:val="0"/>
          <w:bCs w:val="0"/>
          <w:sz w:val="32"/>
          <w:szCs w:val="32"/>
          <w:highlight w:val="none"/>
          <w:lang w:val="en-US" w:eastAsia="zh-CN"/>
        </w:rPr>
        <w:t>等国有剧团以及其他民营剧团。</w:t>
      </w:r>
      <w:r>
        <w:rPr>
          <w:rFonts w:hint="eastAsia" w:ascii="仿宋_GB2312" w:hAnsi="仿宋_GB2312" w:eastAsia="仿宋_GB2312" w:cs="仿宋_GB2312"/>
          <w:b w:val="0"/>
          <w:bCs w:val="0"/>
          <w:sz w:val="32"/>
          <w:szCs w:val="32"/>
          <w:highlight w:val="none"/>
          <w:lang w:val="en-US" w:eastAsia="zh-Hans"/>
        </w:rPr>
        <w:t>四川省歌舞剧院有限责任公司</w:t>
      </w:r>
      <w:r>
        <w:rPr>
          <w:rFonts w:hint="eastAsia" w:ascii="仿宋_GB2312" w:hAnsi="仿宋_GB2312" w:eastAsia="仿宋_GB2312" w:cs="仿宋_GB2312"/>
          <w:b w:val="0"/>
          <w:bCs w:val="0"/>
          <w:sz w:val="32"/>
          <w:szCs w:val="32"/>
          <w:highlight w:val="none"/>
          <w:lang w:val="en-US" w:eastAsia="zh-CN"/>
        </w:rPr>
        <w:t>除在自己的剧场进行演出外，还在四川大剧院、</w:t>
      </w:r>
      <w:r>
        <w:rPr>
          <w:rFonts w:hint="eastAsia" w:ascii="仿宋_GB2312" w:hAnsi="仿宋_GB2312" w:eastAsia="仿宋_GB2312" w:cs="仿宋_GB2312"/>
          <w:b w:val="0"/>
          <w:bCs w:val="0"/>
          <w:sz w:val="32"/>
          <w:szCs w:val="32"/>
          <w:highlight w:val="none"/>
          <w:lang w:val="en-US" w:eastAsia="zh-Hans"/>
        </w:rPr>
        <w:t>成都城市音乐厅歌剧厅</w:t>
      </w:r>
      <w:r>
        <w:rPr>
          <w:rFonts w:hint="eastAsia" w:ascii="仿宋_GB2312" w:hAnsi="仿宋_GB2312" w:eastAsia="仿宋_GB2312" w:cs="仿宋_GB2312"/>
          <w:b w:val="0"/>
          <w:bCs w:val="0"/>
          <w:sz w:val="32"/>
          <w:szCs w:val="32"/>
          <w:highlight w:val="none"/>
          <w:lang w:val="en-US" w:eastAsia="zh-CN"/>
        </w:rPr>
        <w:t>等场馆进行演出。</w:t>
      </w:r>
    </w:p>
    <w:p>
      <w:pPr>
        <w:ind w:firstLine="643" w:firstLineChars="200"/>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三是民营团体和国有团体齐头并进。</w:t>
      </w:r>
      <w:r>
        <w:rPr>
          <w:rFonts w:hint="eastAsia" w:ascii="仿宋_GB2312" w:hAnsi="仿宋_GB2312" w:eastAsia="仿宋_GB2312" w:cs="仿宋_GB2312"/>
          <w:b w:val="0"/>
          <w:bCs w:val="0"/>
          <w:sz w:val="32"/>
          <w:szCs w:val="32"/>
          <w:highlight w:val="none"/>
          <w:lang w:val="en-US" w:eastAsia="zh-CN"/>
        </w:rPr>
        <w:t>2021年演出场次超过100场的团体中，国有团体和民营团体各占据4个席位，国有团体包括绵阳市艺术剧院有限责任公司、成都艺术剧院有限责任公司、四川人民艺术剧院、四川省曲艺研究院；民营团体包括成都哈哈曲艺社文化传播有限公司、</w:t>
      </w:r>
      <w:r>
        <w:rPr>
          <w:rFonts w:hint="eastAsia" w:ascii="仿宋_GB2312" w:hAnsi="仿宋_GB2312" w:eastAsia="仿宋_GB2312" w:cs="仿宋_GB2312"/>
          <w:b w:val="0"/>
          <w:bCs w:val="0"/>
          <w:sz w:val="32"/>
          <w:szCs w:val="32"/>
          <w:highlight w:val="none"/>
          <w:lang w:val="en-US" w:eastAsia="zh-Hans"/>
        </w:rPr>
        <w:t>成都开心麻花</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highlight w:val="none"/>
          <w:lang w:val="en-US" w:eastAsia="zh-Hans"/>
        </w:rPr>
        <w:t>成都繁星青年戏剧团</w:t>
      </w:r>
      <w:r>
        <w:rPr>
          <w:rFonts w:hint="eastAsia" w:ascii="仿宋_GB2312" w:hAnsi="仿宋_GB2312" w:eastAsia="仿宋_GB2312" w:cs="仿宋_GB2312"/>
          <w:b w:val="0"/>
          <w:bCs w:val="0"/>
          <w:sz w:val="32"/>
          <w:szCs w:val="32"/>
          <w:highlight w:val="none"/>
          <w:lang w:val="en-US" w:eastAsia="zh-CN"/>
        </w:rPr>
        <w:t>、德阳杂技团。另外有部分活跃度较高的民营团体是采用</w:t>
      </w:r>
      <w:r>
        <w:rPr>
          <w:rFonts w:hint="eastAsia" w:ascii="仿宋_GB2312" w:hAnsi="仿宋_GB2312" w:eastAsia="仿宋_GB2312" w:cs="仿宋_GB2312"/>
          <w:b w:val="0"/>
          <w:bCs w:val="0"/>
          <w:sz w:val="32"/>
          <w:szCs w:val="32"/>
          <w:highlight w:val="none"/>
          <w:lang w:val="en-US" w:eastAsia="zh-Hans"/>
        </w:rPr>
        <w:t>政府购买服务演出</w:t>
      </w:r>
      <w:r>
        <w:rPr>
          <w:rFonts w:hint="eastAsia" w:ascii="仿宋_GB2312" w:hAnsi="仿宋_GB2312" w:eastAsia="仿宋_GB2312" w:cs="仿宋_GB2312"/>
          <w:b w:val="0"/>
          <w:bCs w:val="0"/>
          <w:sz w:val="32"/>
          <w:szCs w:val="32"/>
          <w:highlight w:val="none"/>
          <w:lang w:val="en-US" w:eastAsia="zh-CN"/>
        </w:rPr>
        <w:t>等非商业性演出模式，因此未计入此次数据比对。</w:t>
      </w:r>
    </w:p>
    <w:p>
      <w:pPr>
        <w:numPr>
          <w:ilvl w:val="0"/>
          <w:numId w:val="0"/>
        </w:numPr>
        <w:ind w:firstLine="643" w:firstLineChars="200"/>
        <w:jc w:val="left"/>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CN"/>
        </w:rPr>
        <w:t>4.全省文艺院团</w:t>
      </w:r>
      <w:r>
        <w:rPr>
          <w:rFonts w:hint="eastAsia" w:ascii="仿宋_GB2312" w:hAnsi="仿宋_GB2312" w:eastAsia="仿宋_GB2312" w:cs="仿宋_GB2312"/>
          <w:b/>
          <w:bCs/>
          <w:sz w:val="32"/>
          <w:szCs w:val="32"/>
          <w:lang w:val="en-US" w:eastAsia="zh-Hans"/>
        </w:rPr>
        <w:t>市场</w:t>
      </w:r>
      <w:r>
        <w:rPr>
          <w:rFonts w:hint="eastAsia" w:ascii="仿宋_GB2312" w:hAnsi="仿宋_GB2312" w:eastAsia="仿宋_GB2312" w:cs="仿宋_GB2312"/>
          <w:b/>
          <w:bCs/>
          <w:sz w:val="32"/>
          <w:szCs w:val="32"/>
          <w:lang w:val="en-US" w:eastAsia="zh-CN"/>
        </w:rPr>
        <w:t>活跃度排行榜</w:t>
      </w:r>
    </w:p>
    <w:p>
      <w:pPr>
        <w:numPr>
          <w:ilvl w:val="0"/>
          <w:numId w:val="0"/>
        </w:numPr>
        <w:ind w:firstLine="640" w:firstLineChars="200"/>
        <w:jc w:val="left"/>
        <w:rPr>
          <w:rFonts w:hint="eastAsia" w:ascii="仿宋_GB2312" w:hAnsi="仿宋_GB2312" w:eastAsia="仿宋_GB2312" w:cs="仿宋_GB2312"/>
          <w:b w:val="0"/>
          <w:bCs w:val="0"/>
          <w:color w:val="auto"/>
          <w:sz w:val="32"/>
          <w:szCs w:val="32"/>
          <w:lang w:val="en-US" w:eastAsia="zh-Hans"/>
        </w:rPr>
      </w:pPr>
      <w:r>
        <w:rPr>
          <w:rFonts w:hint="eastAsia" w:ascii="仿宋_GB2312" w:hAnsi="仿宋_GB2312" w:eastAsia="仿宋_GB2312" w:cs="仿宋_GB2312"/>
          <w:b w:val="0"/>
          <w:bCs w:val="0"/>
          <w:color w:val="auto"/>
          <w:sz w:val="32"/>
          <w:szCs w:val="32"/>
          <w:lang w:val="en-US" w:eastAsia="zh-CN"/>
        </w:rPr>
        <w:t>课题组</w:t>
      </w:r>
      <w:r>
        <w:rPr>
          <w:rFonts w:hint="eastAsia" w:ascii="仿宋_GB2312" w:hAnsi="仿宋_GB2312" w:eastAsia="仿宋_GB2312" w:cs="仿宋_GB2312"/>
          <w:b w:val="0"/>
          <w:bCs w:val="0"/>
          <w:color w:val="auto"/>
          <w:sz w:val="32"/>
          <w:szCs w:val="32"/>
          <w:lang w:val="en-US" w:eastAsia="zh-Hans"/>
        </w:rPr>
        <w:t>主要根据大麦、秀动、猫眼、四川大剧院等票务平台与部分演出经纪机构、演出场馆与表演团体报送的数据资料进行统计。</w:t>
      </w:r>
    </w:p>
    <w:p>
      <w:pPr>
        <w:pStyle w:val="2"/>
        <w:jc w:val="center"/>
        <w:rPr>
          <w:rFonts w:hint="eastAsia"/>
          <w:lang w:val="en-US" w:eastAsia="zh-Hans"/>
        </w:rPr>
      </w:pPr>
      <w:r>
        <w:rPr>
          <w:rStyle w:val="19"/>
          <w:rFonts w:hint="eastAsia" w:ascii="华文中宋" w:hAnsi="华文中宋" w:eastAsia="华文中宋"/>
        </w:rPr>
        <w:t>图表</w:t>
      </w:r>
      <w:r>
        <w:rPr>
          <w:rStyle w:val="19"/>
          <w:rFonts w:hint="eastAsia" w:ascii="华文中宋" w:hAnsi="华文中宋" w:eastAsia="华文中宋"/>
          <w:lang w:val="en-US" w:eastAsia="zh-CN"/>
        </w:rPr>
        <w:t>5</w:t>
      </w:r>
      <w:r>
        <w:rPr>
          <w:rStyle w:val="19"/>
          <w:rFonts w:hint="eastAsia" w:ascii="华文中宋" w:hAnsi="华文中宋" w:eastAsia="华文中宋"/>
        </w:rPr>
        <w:t>-</w:t>
      </w:r>
      <w:r>
        <w:rPr>
          <w:rStyle w:val="19"/>
          <w:rFonts w:hint="eastAsia" w:ascii="华文中宋" w:hAnsi="华文中宋" w:eastAsia="华文中宋"/>
          <w:lang w:val="en-US" w:eastAsia="zh-CN"/>
        </w:rPr>
        <w:t>4</w:t>
      </w:r>
      <w:r>
        <w:rPr>
          <w:rStyle w:val="19"/>
          <w:rFonts w:hint="eastAsia" w:ascii="华文中宋" w:hAnsi="华文中宋" w:eastAsia="华文中宋"/>
        </w:rPr>
        <w:t xml:space="preserve"> </w:t>
      </w:r>
      <w:r>
        <w:rPr>
          <w:rStyle w:val="19"/>
          <w:rFonts w:hint="eastAsia" w:ascii="华文中宋" w:hAnsi="华文中宋" w:eastAsia="华文中宋"/>
          <w:lang w:val="en-US" w:eastAsia="zh-CN"/>
        </w:rPr>
        <w:t xml:space="preserve"> </w:t>
      </w:r>
      <w:r>
        <w:rPr>
          <w:rStyle w:val="19"/>
          <w:rFonts w:hint="eastAsia" w:ascii="华文中宋" w:hAnsi="华文中宋" w:eastAsia="华文中宋"/>
        </w:rPr>
        <w:t>20</w:t>
      </w:r>
      <w:r>
        <w:rPr>
          <w:rStyle w:val="19"/>
          <w:rFonts w:hint="eastAsia" w:ascii="华文中宋" w:hAnsi="华文中宋" w:eastAsia="华文中宋"/>
          <w:lang w:val="en-US" w:eastAsia="zh-CN"/>
        </w:rPr>
        <w:t>21</w:t>
      </w:r>
      <w:r>
        <w:rPr>
          <w:rStyle w:val="19"/>
          <w:rFonts w:hint="eastAsia" w:ascii="华文中宋" w:hAnsi="华文中宋" w:eastAsia="华文中宋"/>
        </w:rPr>
        <w:t>年</w:t>
      </w:r>
      <w:r>
        <w:rPr>
          <w:rStyle w:val="19"/>
          <w:rFonts w:hint="eastAsia" w:ascii="华文中宋" w:hAnsi="华文中宋" w:eastAsia="华文中宋"/>
          <w:lang w:val="en-US" w:eastAsia="zh-CN"/>
        </w:rPr>
        <w:t>四川省</w:t>
      </w:r>
      <w:r>
        <w:rPr>
          <w:rStyle w:val="19"/>
          <w:rFonts w:hint="eastAsia" w:ascii="华文中宋" w:hAnsi="华文中宋" w:eastAsia="华文中宋"/>
        </w:rPr>
        <w:t>文艺表演团体活跃度排行榜</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4464"/>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noWrap w:val="0"/>
            <w:vAlign w:val="top"/>
          </w:tcPr>
          <w:p>
            <w:pPr>
              <w:pStyle w:val="2"/>
              <w:jc w:val="center"/>
              <w:rPr>
                <w:rFonts w:hint="eastAsia" w:ascii="宋体" w:hAnsi="宋体" w:eastAsia="宋体" w:cs="宋体"/>
                <w:b/>
                <w:bCs/>
                <w:sz w:val="20"/>
                <w:szCs w:val="20"/>
                <w:vertAlign w:val="baseline"/>
                <w:lang w:val="en-US" w:eastAsia="zh-CN"/>
              </w:rPr>
            </w:pPr>
            <w:bookmarkStart w:id="5" w:name="_Toc213754287"/>
            <w:bookmarkStart w:id="6" w:name="_Toc245558590"/>
            <w:r>
              <w:rPr>
                <w:rFonts w:hint="eastAsia" w:ascii="宋体" w:hAnsi="宋体" w:eastAsia="宋体" w:cs="宋体"/>
                <w:b/>
                <w:bCs/>
                <w:sz w:val="20"/>
                <w:szCs w:val="20"/>
                <w:vertAlign w:val="baseline"/>
                <w:lang w:val="en-US" w:eastAsia="zh-CN"/>
              </w:rPr>
              <w:t>院团性质</w:t>
            </w:r>
          </w:p>
        </w:tc>
        <w:tc>
          <w:tcPr>
            <w:tcW w:w="4464" w:type="dxa"/>
            <w:noWrap w:val="0"/>
            <w:vAlign w:val="top"/>
          </w:tcPr>
          <w:p>
            <w:pPr>
              <w:pStyle w:val="2"/>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院团名称</w:t>
            </w:r>
          </w:p>
        </w:tc>
        <w:tc>
          <w:tcPr>
            <w:tcW w:w="2371" w:type="dxa"/>
            <w:noWrap w:val="0"/>
            <w:vAlign w:val="top"/>
          </w:tcPr>
          <w:p>
            <w:pPr>
              <w:pStyle w:val="2"/>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演出场次（场）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trPr>
        <w:tc>
          <w:tcPr>
            <w:tcW w:w="1687" w:type="dxa"/>
            <w:vMerge w:val="restart"/>
            <w:noWrap w:val="0"/>
            <w:vAlign w:val="top"/>
          </w:tcPr>
          <w:p>
            <w:pPr>
              <w:pStyle w:val="2"/>
              <w:jc w:val="center"/>
              <w:rPr>
                <w:rFonts w:hint="eastAsia" w:ascii="宋体" w:hAnsi="宋体" w:eastAsia="宋体" w:cs="宋体"/>
                <w:sz w:val="20"/>
                <w:szCs w:val="20"/>
                <w:vertAlign w:val="baseline"/>
                <w:lang w:val="en-US" w:eastAsia="zh-CN"/>
              </w:rPr>
            </w:pPr>
          </w:p>
          <w:p>
            <w:pPr>
              <w:pStyle w:val="2"/>
              <w:jc w:val="center"/>
              <w:rPr>
                <w:rFonts w:hint="eastAsia" w:ascii="宋体" w:hAnsi="宋体" w:eastAsia="宋体" w:cs="宋体"/>
                <w:sz w:val="20"/>
                <w:szCs w:val="20"/>
                <w:vertAlign w:val="baseline"/>
                <w:lang w:val="en-US" w:eastAsia="zh-CN"/>
              </w:rPr>
            </w:pPr>
          </w:p>
          <w:p>
            <w:pPr>
              <w:pStyle w:val="2"/>
              <w:jc w:val="center"/>
              <w:rPr>
                <w:rFonts w:hint="eastAsia" w:ascii="宋体" w:hAnsi="宋体" w:eastAsia="宋体" w:cs="宋体"/>
                <w:sz w:val="20"/>
                <w:szCs w:val="20"/>
                <w:vertAlign w:val="baseline"/>
                <w:lang w:val="en-US" w:eastAsia="zh-CN"/>
              </w:rPr>
            </w:pPr>
          </w:p>
          <w:p>
            <w:pPr>
              <w:pStyle w:val="2"/>
              <w:jc w:val="center"/>
              <w:rPr>
                <w:rFonts w:hint="eastAsia" w:ascii="宋体" w:hAnsi="宋体" w:eastAsia="宋体" w:cs="宋体"/>
                <w:sz w:val="20"/>
                <w:szCs w:val="20"/>
                <w:vertAlign w:val="baseline"/>
                <w:lang w:val="en-US" w:eastAsia="zh-CN"/>
              </w:rPr>
            </w:pPr>
          </w:p>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国有院团</w:t>
            </w:r>
          </w:p>
        </w:tc>
        <w:tc>
          <w:tcPr>
            <w:tcW w:w="4464" w:type="dxa"/>
            <w:noWrap w:val="0"/>
            <w:vAlign w:val="top"/>
          </w:tcPr>
          <w:p>
            <w:pPr>
              <w:pStyle w:val="2"/>
              <w:jc w:val="center"/>
              <w:rPr>
                <w:rFonts w:hint="eastAsia" w:ascii="宋体" w:hAnsi="宋体" w:eastAsia="宋体" w:cs="宋体"/>
                <w:kern w:val="2"/>
                <w:sz w:val="20"/>
                <w:szCs w:val="20"/>
                <w:highlight w:val="none"/>
                <w:vertAlign w:val="baseline"/>
                <w:lang w:val="en-US" w:eastAsia="zh-Hans" w:bidi="ar-SA"/>
              </w:rPr>
            </w:pPr>
            <w:r>
              <w:rPr>
                <w:rFonts w:hint="eastAsia" w:ascii="宋体" w:hAnsi="宋体" w:eastAsia="宋体" w:cs="宋体"/>
                <w:b w:val="0"/>
                <w:bCs w:val="0"/>
                <w:sz w:val="20"/>
                <w:szCs w:val="20"/>
                <w:highlight w:val="none"/>
                <w:lang w:val="en-US" w:eastAsia="zh-Hans"/>
              </w:rPr>
              <w:t>绵阳市艺术剧院有限责任公司</w:t>
            </w:r>
          </w:p>
        </w:tc>
        <w:tc>
          <w:tcPr>
            <w:tcW w:w="2371" w:type="dxa"/>
            <w:noWrap w:val="0"/>
            <w:vAlign w:val="top"/>
          </w:tcPr>
          <w:p>
            <w:pPr>
              <w:pStyle w:val="2"/>
              <w:jc w:val="center"/>
              <w:rPr>
                <w:rFonts w:hint="eastAsia" w:ascii="宋体" w:hAnsi="宋体" w:eastAsia="宋体" w:cs="宋体"/>
                <w:b w:val="0"/>
                <w:bCs w:val="0"/>
                <w:kern w:val="2"/>
                <w:sz w:val="20"/>
                <w:szCs w:val="20"/>
                <w:highlight w:val="none"/>
                <w:lang w:val="en-US" w:eastAsia="zh-Hans" w:bidi="ar-SA"/>
              </w:rPr>
            </w:pPr>
            <w:r>
              <w:rPr>
                <w:rFonts w:hint="eastAsia" w:ascii="宋体" w:hAnsi="宋体" w:eastAsia="宋体" w:cs="宋体"/>
                <w:b w:val="0"/>
                <w:bCs w:val="0"/>
                <w:sz w:val="20"/>
                <w:szCs w:val="20"/>
                <w:highlight w:val="none"/>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sz w:val="20"/>
                <w:szCs w:val="20"/>
                <w:vertAlign w:val="baseline"/>
                <w:lang w:val="en-US" w:eastAsia="zh-Hans"/>
              </w:rPr>
            </w:pPr>
          </w:p>
        </w:tc>
        <w:tc>
          <w:tcPr>
            <w:tcW w:w="4464" w:type="dxa"/>
            <w:noWrap w:val="0"/>
            <w:vAlign w:val="top"/>
          </w:tcPr>
          <w:p>
            <w:pPr>
              <w:pStyle w:val="2"/>
              <w:jc w:val="center"/>
              <w:rPr>
                <w:rFonts w:hint="eastAsia" w:ascii="宋体" w:hAnsi="宋体" w:eastAsia="宋体" w:cs="宋体"/>
                <w:kern w:val="2"/>
                <w:sz w:val="20"/>
                <w:szCs w:val="20"/>
                <w:highlight w:val="none"/>
                <w:vertAlign w:val="baseline"/>
                <w:lang w:val="en-US" w:eastAsia="zh-Hans" w:bidi="ar-SA"/>
              </w:rPr>
            </w:pPr>
            <w:r>
              <w:rPr>
                <w:rFonts w:hint="eastAsia" w:ascii="宋体" w:hAnsi="宋体" w:eastAsia="宋体" w:cs="宋体"/>
                <w:b w:val="0"/>
                <w:bCs w:val="0"/>
                <w:sz w:val="20"/>
                <w:szCs w:val="20"/>
                <w:highlight w:val="none"/>
                <w:lang w:val="en-US" w:eastAsia="zh-Hans"/>
              </w:rPr>
              <w:t>成都艺术剧院有限责任公司</w:t>
            </w:r>
          </w:p>
        </w:tc>
        <w:tc>
          <w:tcPr>
            <w:tcW w:w="2371" w:type="dxa"/>
            <w:noWrap w:val="0"/>
            <w:vAlign w:val="top"/>
          </w:tcPr>
          <w:p>
            <w:pPr>
              <w:pStyle w:val="2"/>
              <w:jc w:val="center"/>
              <w:rPr>
                <w:rFonts w:hint="eastAsia" w:ascii="宋体" w:hAnsi="宋体" w:eastAsia="宋体" w:cs="宋体"/>
                <w:b w:val="0"/>
                <w:bCs w:val="0"/>
                <w:kern w:val="2"/>
                <w:sz w:val="20"/>
                <w:szCs w:val="20"/>
                <w:highlight w:val="none"/>
                <w:lang w:val="en-US" w:eastAsia="zh-Hans" w:bidi="ar-SA"/>
              </w:rPr>
            </w:pPr>
            <w:r>
              <w:rPr>
                <w:rFonts w:hint="eastAsia" w:ascii="宋体" w:hAnsi="宋体" w:eastAsia="宋体" w:cs="宋体"/>
                <w:b w:val="0"/>
                <w:bCs w:val="0"/>
                <w:sz w:val="20"/>
                <w:szCs w:val="20"/>
                <w:highlight w:val="none"/>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sz w:val="20"/>
                <w:szCs w:val="20"/>
                <w:vertAlign w:val="baseline"/>
                <w:lang w:val="en-US" w:eastAsia="zh-Hans"/>
              </w:rPr>
            </w:pPr>
          </w:p>
        </w:tc>
        <w:tc>
          <w:tcPr>
            <w:tcW w:w="4464" w:type="dxa"/>
            <w:noWrap w:val="0"/>
            <w:vAlign w:val="top"/>
          </w:tcPr>
          <w:p>
            <w:pPr>
              <w:pStyle w:val="2"/>
              <w:jc w:val="center"/>
              <w:rPr>
                <w:rFonts w:hint="eastAsia" w:ascii="宋体" w:hAnsi="宋体" w:eastAsia="宋体" w:cs="宋体"/>
                <w:kern w:val="2"/>
                <w:sz w:val="20"/>
                <w:szCs w:val="20"/>
                <w:highlight w:val="none"/>
                <w:vertAlign w:val="baseline"/>
                <w:lang w:val="en-US" w:eastAsia="zh-Hans" w:bidi="ar-SA"/>
              </w:rPr>
            </w:pPr>
            <w:r>
              <w:rPr>
                <w:rFonts w:hint="eastAsia" w:ascii="宋体" w:hAnsi="宋体" w:eastAsia="宋体" w:cs="宋体"/>
                <w:b w:val="0"/>
                <w:bCs w:val="0"/>
                <w:sz w:val="20"/>
                <w:szCs w:val="20"/>
                <w:highlight w:val="none"/>
                <w:lang w:val="en-US" w:eastAsia="zh-Hans"/>
              </w:rPr>
              <w:t>四川人民艺术剧院</w:t>
            </w:r>
          </w:p>
        </w:tc>
        <w:tc>
          <w:tcPr>
            <w:tcW w:w="2371" w:type="dxa"/>
            <w:noWrap w:val="0"/>
            <w:vAlign w:val="top"/>
          </w:tcPr>
          <w:p>
            <w:pPr>
              <w:jc w:val="center"/>
              <w:rPr>
                <w:rFonts w:hint="eastAsia" w:ascii="宋体" w:hAnsi="宋体" w:eastAsia="宋体" w:cs="宋体"/>
                <w:kern w:val="2"/>
                <w:sz w:val="20"/>
                <w:szCs w:val="20"/>
                <w:highlight w:val="none"/>
                <w:vertAlign w:val="baseline"/>
                <w:lang w:val="en-US" w:eastAsia="zh-Hans" w:bidi="ar-SA"/>
              </w:rPr>
            </w:pPr>
            <w:r>
              <w:rPr>
                <w:rFonts w:hint="eastAsia" w:ascii="宋体" w:hAnsi="宋体" w:eastAsia="宋体" w:cs="宋体"/>
                <w:b w:val="0"/>
                <w:bCs w:val="0"/>
                <w:sz w:val="20"/>
                <w:szCs w:val="20"/>
                <w:highlight w:val="none"/>
                <w:lang w:eastAsia="zh-Hans"/>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sz w:val="20"/>
                <w:szCs w:val="20"/>
                <w:vertAlign w:val="baseline"/>
                <w:lang w:val="en-US" w:eastAsia="zh-Hans"/>
              </w:rPr>
            </w:pPr>
          </w:p>
        </w:tc>
        <w:tc>
          <w:tcPr>
            <w:tcW w:w="4464" w:type="dxa"/>
            <w:noWrap w:val="0"/>
            <w:vAlign w:val="top"/>
          </w:tcPr>
          <w:p>
            <w:pPr>
              <w:pStyle w:val="2"/>
              <w:jc w:val="center"/>
              <w:rPr>
                <w:rFonts w:hint="eastAsia" w:ascii="宋体" w:hAnsi="宋体" w:eastAsia="宋体" w:cs="宋体"/>
                <w:color w:val="auto"/>
                <w:sz w:val="20"/>
                <w:szCs w:val="20"/>
                <w:highlight w:val="none"/>
                <w:vertAlign w:val="baseline"/>
                <w:lang w:eastAsia="zh-Hans"/>
              </w:rPr>
            </w:pPr>
            <w:r>
              <w:rPr>
                <w:rFonts w:hint="eastAsia" w:ascii="宋体" w:hAnsi="宋体" w:eastAsia="宋体" w:cs="宋体"/>
                <w:b w:val="0"/>
                <w:bCs w:val="0"/>
                <w:color w:val="auto"/>
                <w:sz w:val="20"/>
                <w:szCs w:val="20"/>
                <w:highlight w:val="none"/>
                <w:lang w:val="en-US" w:eastAsia="zh-Hans"/>
              </w:rPr>
              <w:t>四川省曲艺研究院</w:t>
            </w:r>
          </w:p>
        </w:tc>
        <w:tc>
          <w:tcPr>
            <w:tcW w:w="2371" w:type="dxa"/>
            <w:noWrap w:val="0"/>
            <w:vAlign w:val="top"/>
          </w:tcPr>
          <w:p>
            <w:pPr>
              <w:jc w:val="center"/>
              <w:rPr>
                <w:rFonts w:hint="eastAsia" w:ascii="宋体" w:hAnsi="宋体" w:eastAsia="宋体" w:cs="宋体"/>
                <w:color w:val="auto"/>
                <w:sz w:val="20"/>
                <w:szCs w:val="20"/>
                <w:highlight w:val="none"/>
                <w:vertAlign w:val="baseline"/>
                <w:lang w:eastAsia="zh-Hans"/>
              </w:rPr>
            </w:pPr>
            <w:r>
              <w:rPr>
                <w:rFonts w:hint="eastAsia" w:ascii="宋体" w:hAnsi="宋体" w:eastAsia="宋体" w:cs="宋体"/>
                <w:b w:val="0"/>
                <w:bCs w:val="0"/>
                <w:color w:val="auto"/>
                <w:sz w:val="20"/>
                <w:szCs w:val="20"/>
                <w:highlight w:val="none"/>
                <w:lang w:eastAsia="zh-Hans"/>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kern w:val="2"/>
                <w:sz w:val="20"/>
                <w:szCs w:val="20"/>
                <w:vertAlign w:val="baseline"/>
                <w:lang w:val="en-US" w:eastAsia="zh-Hans" w:bidi="ar-SA"/>
              </w:rPr>
            </w:pPr>
          </w:p>
        </w:tc>
        <w:tc>
          <w:tcPr>
            <w:tcW w:w="4464" w:type="dxa"/>
            <w:noWrap w:val="0"/>
            <w:vAlign w:val="top"/>
          </w:tcPr>
          <w:p>
            <w:pPr>
              <w:pStyle w:val="2"/>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b w:val="0"/>
                <w:bCs w:val="0"/>
                <w:color w:val="auto"/>
                <w:sz w:val="20"/>
                <w:szCs w:val="20"/>
                <w:lang w:val="en-US" w:eastAsia="zh-Hans"/>
              </w:rPr>
              <w:t>四川省歌舞剧院有限责任公司</w:t>
            </w:r>
          </w:p>
        </w:tc>
        <w:tc>
          <w:tcPr>
            <w:tcW w:w="2371" w:type="dxa"/>
            <w:noWrap w:val="0"/>
            <w:vAlign w:val="top"/>
          </w:tcPr>
          <w:p>
            <w:pPr>
              <w:pStyle w:val="2"/>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b w:val="0"/>
                <w:bCs w:val="0"/>
                <w:color w:val="auto"/>
                <w:sz w:val="20"/>
                <w:szCs w:val="20"/>
                <w:lang w:eastAsia="zh-Hans"/>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kern w:val="2"/>
                <w:sz w:val="20"/>
                <w:szCs w:val="20"/>
                <w:vertAlign w:val="baseline"/>
                <w:lang w:val="en-US" w:eastAsia="zh-Hans" w:bidi="ar-SA"/>
              </w:rPr>
            </w:pPr>
          </w:p>
        </w:tc>
        <w:tc>
          <w:tcPr>
            <w:tcW w:w="4464" w:type="dxa"/>
            <w:noWrap w:val="0"/>
            <w:vAlign w:val="top"/>
          </w:tcPr>
          <w:p>
            <w:pPr>
              <w:pStyle w:val="2"/>
              <w:jc w:val="center"/>
              <w:rPr>
                <w:rFonts w:hint="eastAsia" w:ascii="宋体" w:hAnsi="宋体" w:eastAsia="宋体" w:cs="宋体"/>
                <w:color w:val="auto"/>
                <w:kern w:val="2"/>
                <w:sz w:val="20"/>
                <w:szCs w:val="20"/>
                <w:vertAlign w:val="baseline"/>
                <w:lang w:eastAsia="zh-Hans" w:bidi="ar-SA"/>
              </w:rPr>
            </w:pPr>
            <w:r>
              <w:rPr>
                <w:rFonts w:hint="eastAsia" w:ascii="宋体" w:hAnsi="宋体" w:eastAsia="宋体" w:cs="宋体"/>
                <w:b w:val="0"/>
                <w:bCs w:val="0"/>
                <w:color w:val="auto"/>
                <w:sz w:val="20"/>
                <w:szCs w:val="20"/>
                <w:lang w:val="en-US" w:eastAsia="zh-Hans"/>
              </w:rPr>
              <w:t>四川省交响乐团（含天姿国乐）</w:t>
            </w:r>
          </w:p>
        </w:tc>
        <w:tc>
          <w:tcPr>
            <w:tcW w:w="2371" w:type="dxa"/>
            <w:noWrap w:val="0"/>
            <w:vAlign w:val="top"/>
          </w:tcPr>
          <w:p>
            <w:pPr>
              <w:pStyle w:val="2"/>
              <w:jc w:val="center"/>
              <w:rPr>
                <w:rFonts w:hint="eastAsia" w:ascii="宋体" w:hAnsi="宋体" w:eastAsia="宋体" w:cs="宋体"/>
                <w:color w:val="auto"/>
                <w:kern w:val="2"/>
                <w:sz w:val="20"/>
                <w:szCs w:val="20"/>
                <w:vertAlign w:val="baseline"/>
                <w:lang w:eastAsia="zh-Hans" w:bidi="ar-SA"/>
              </w:rPr>
            </w:pPr>
            <w:r>
              <w:rPr>
                <w:rFonts w:hint="eastAsia" w:ascii="宋体" w:hAnsi="宋体" w:eastAsia="宋体" w:cs="宋体"/>
                <w:b w:val="0"/>
                <w:bCs w:val="0"/>
                <w:color w:val="auto"/>
                <w:sz w:val="20"/>
                <w:szCs w:val="20"/>
                <w:lang w:eastAsia="zh-Hans"/>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kern w:val="2"/>
                <w:sz w:val="20"/>
                <w:szCs w:val="20"/>
                <w:vertAlign w:val="baseline"/>
                <w:lang w:val="en-US" w:eastAsia="zh-Hans" w:bidi="ar-SA"/>
              </w:rPr>
            </w:pPr>
          </w:p>
        </w:tc>
        <w:tc>
          <w:tcPr>
            <w:tcW w:w="4464" w:type="dxa"/>
            <w:noWrap w:val="0"/>
            <w:vAlign w:val="top"/>
          </w:tcPr>
          <w:p>
            <w:pPr>
              <w:pStyle w:val="2"/>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b w:val="0"/>
                <w:bCs w:val="0"/>
                <w:color w:val="auto"/>
                <w:sz w:val="20"/>
                <w:szCs w:val="20"/>
                <w:lang w:val="en-US" w:eastAsia="zh-Hans"/>
              </w:rPr>
              <w:t>成都市川剧研究院</w:t>
            </w:r>
          </w:p>
        </w:tc>
        <w:tc>
          <w:tcPr>
            <w:tcW w:w="2371" w:type="dxa"/>
            <w:noWrap w:val="0"/>
            <w:vAlign w:val="top"/>
          </w:tcPr>
          <w:p>
            <w:pPr>
              <w:pStyle w:val="2"/>
              <w:jc w:val="center"/>
              <w:rPr>
                <w:rFonts w:hint="eastAsia" w:ascii="宋体" w:hAnsi="宋体" w:eastAsia="宋体" w:cs="宋体"/>
                <w:b w:val="0"/>
                <w:bCs w:val="0"/>
                <w:color w:val="auto"/>
                <w:kern w:val="2"/>
                <w:sz w:val="20"/>
                <w:szCs w:val="20"/>
                <w:lang w:val="en-US" w:eastAsia="zh-Hans" w:bidi="ar-SA"/>
              </w:rPr>
            </w:pPr>
            <w:r>
              <w:rPr>
                <w:rFonts w:hint="eastAsia" w:ascii="宋体" w:hAnsi="宋体" w:eastAsia="宋体" w:cs="宋体"/>
                <w:b w:val="0"/>
                <w:bCs w:val="0"/>
                <w:color w:val="auto"/>
                <w:sz w:val="20"/>
                <w:szCs w:val="20"/>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sz w:val="20"/>
                <w:szCs w:val="20"/>
                <w:vertAlign w:val="baseline"/>
                <w:lang w:val="en-US" w:eastAsia="zh-Hans"/>
              </w:rPr>
            </w:pPr>
          </w:p>
        </w:tc>
        <w:tc>
          <w:tcPr>
            <w:tcW w:w="4464" w:type="dxa"/>
            <w:noWrap w:val="0"/>
            <w:vAlign w:val="top"/>
          </w:tcPr>
          <w:p>
            <w:pPr>
              <w:pStyle w:val="2"/>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b w:val="0"/>
                <w:bCs w:val="0"/>
                <w:color w:val="auto"/>
                <w:sz w:val="20"/>
                <w:szCs w:val="20"/>
                <w:lang w:val="en-US" w:eastAsia="zh-Hans"/>
              </w:rPr>
              <w:t>四川省川剧院</w:t>
            </w:r>
          </w:p>
        </w:tc>
        <w:tc>
          <w:tcPr>
            <w:tcW w:w="2371" w:type="dxa"/>
            <w:noWrap w:val="0"/>
            <w:vAlign w:val="top"/>
          </w:tcPr>
          <w:p>
            <w:pPr>
              <w:pStyle w:val="2"/>
              <w:jc w:val="center"/>
              <w:rPr>
                <w:rFonts w:hint="eastAsia" w:ascii="宋体" w:hAnsi="宋体" w:eastAsia="宋体" w:cs="宋体"/>
                <w:b w:val="0"/>
                <w:bCs w:val="0"/>
                <w:color w:val="auto"/>
                <w:kern w:val="2"/>
                <w:sz w:val="20"/>
                <w:szCs w:val="20"/>
                <w:lang w:val="en-US" w:eastAsia="zh-Hans" w:bidi="ar-SA"/>
              </w:rPr>
            </w:pPr>
            <w:r>
              <w:rPr>
                <w:rFonts w:hint="default" w:ascii="宋体" w:hAnsi="宋体" w:cs="宋体"/>
                <w:b w:val="0"/>
                <w:bCs w:val="0"/>
                <w:color w:val="auto"/>
                <w:sz w:val="20"/>
                <w:szCs w:val="20"/>
                <w:lang w:eastAsia="zh-Hans"/>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sz w:val="20"/>
                <w:szCs w:val="20"/>
                <w:vertAlign w:val="baseline"/>
                <w:lang w:val="en-US" w:eastAsia="zh-Hans"/>
              </w:rPr>
            </w:pPr>
          </w:p>
        </w:tc>
        <w:tc>
          <w:tcPr>
            <w:tcW w:w="4464" w:type="dxa"/>
            <w:noWrap w:val="0"/>
            <w:vAlign w:val="top"/>
          </w:tcPr>
          <w:p>
            <w:pPr>
              <w:pStyle w:val="2"/>
              <w:jc w:val="center"/>
              <w:rPr>
                <w:rFonts w:hint="eastAsia" w:ascii="宋体" w:hAnsi="宋体" w:eastAsia="宋体" w:cs="宋体"/>
                <w:color w:val="auto"/>
                <w:sz w:val="20"/>
                <w:szCs w:val="20"/>
                <w:vertAlign w:val="baseline"/>
                <w:lang w:eastAsia="zh-Hans"/>
              </w:rPr>
            </w:pPr>
            <w:r>
              <w:rPr>
                <w:rFonts w:hint="eastAsia" w:ascii="宋体" w:hAnsi="宋体" w:eastAsia="宋体" w:cs="宋体"/>
                <w:b w:val="0"/>
                <w:bCs w:val="0"/>
                <w:color w:val="auto"/>
                <w:sz w:val="20"/>
                <w:szCs w:val="20"/>
                <w:lang w:val="en-US" w:eastAsia="zh-Hans"/>
              </w:rPr>
              <w:t>四川爱乐乐团</w:t>
            </w:r>
          </w:p>
        </w:tc>
        <w:tc>
          <w:tcPr>
            <w:tcW w:w="2371" w:type="dxa"/>
            <w:noWrap w:val="0"/>
            <w:vAlign w:val="top"/>
          </w:tcPr>
          <w:p>
            <w:pPr>
              <w:pStyle w:val="2"/>
              <w:jc w:val="center"/>
              <w:rPr>
                <w:rFonts w:hint="eastAsia" w:ascii="宋体" w:hAnsi="宋体" w:eastAsia="宋体" w:cs="宋体"/>
                <w:b w:val="0"/>
                <w:bCs w:val="0"/>
                <w:color w:val="auto"/>
                <w:sz w:val="20"/>
                <w:szCs w:val="20"/>
                <w:lang w:val="en-US" w:eastAsia="zh-Hans"/>
              </w:rPr>
            </w:pPr>
            <w:r>
              <w:rPr>
                <w:rFonts w:hint="eastAsia" w:ascii="宋体" w:hAnsi="宋体" w:eastAsia="宋体" w:cs="宋体"/>
                <w:b w:val="0"/>
                <w:bCs w:val="0"/>
                <w:color w:val="auto"/>
                <w:sz w:val="20"/>
                <w:szCs w:val="20"/>
                <w:lang w:val="en-US" w:eastAsia="zh-Hans"/>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1687" w:type="dxa"/>
            <w:vMerge w:val="restart"/>
            <w:noWrap w:val="0"/>
            <w:vAlign w:val="top"/>
          </w:tcPr>
          <w:p>
            <w:pPr>
              <w:pStyle w:val="2"/>
              <w:jc w:val="center"/>
              <w:rPr>
                <w:rFonts w:hint="eastAsia" w:ascii="宋体" w:hAnsi="宋体" w:eastAsia="宋体" w:cs="宋体"/>
                <w:sz w:val="20"/>
                <w:szCs w:val="20"/>
                <w:vertAlign w:val="baseline"/>
                <w:lang w:val="en-US" w:eastAsia="zh-CN"/>
              </w:rPr>
            </w:pPr>
          </w:p>
          <w:p>
            <w:pPr>
              <w:pStyle w:val="2"/>
              <w:jc w:val="center"/>
              <w:rPr>
                <w:rFonts w:hint="eastAsia" w:ascii="宋体" w:hAnsi="宋体" w:eastAsia="宋体" w:cs="宋体"/>
                <w:sz w:val="20"/>
                <w:szCs w:val="20"/>
                <w:vertAlign w:val="baseline"/>
                <w:lang w:val="en-US" w:eastAsia="zh-CN"/>
              </w:rPr>
            </w:pPr>
          </w:p>
          <w:p>
            <w:pPr>
              <w:rPr>
                <w:rFonts w:hint="eastAsia" w:ascii="宋体" w:hAnsi="宋体" w:eastAsia="宋体" w:cs="宋体"/>
                <w:sz w:val="20"/>
                <w:szCs w:val="20"/>
                <w:vertAlign w:val="baseline"/>
                <w:lang w:val="en-US" w:eastAsia="zh-CN"/>
              </w:rPr>
            </w:pPr>
          </w:p>
          <w:p>
            <w:pPr>
              <w:pStyle w:val="2"/>
              <w:rPr>
                <w:rFonts w:hint="eastAsia" w:ascii="宋体" w:hAnsi="宋体" w:eastAsia="宋体" w:cs="宋体"/>
                <w:sz w:val="20"/>
                <w:szCs w:val="20"/>
                <w:vertAlign w:val="baseline"/>
                <w:lang w:val="en-US" w:eastAsia="zh-CN"/>
              </w:rPr>
            </w:pPr>
          </w:p>
          <w:p>
            <w:pPr>
              <w:rPr>
                <w:rFonts w:hint="eastAsia" w:ascii="宋体" w:hAnsi="宋体" w:eastAsia="宋体" w:cs="宋体"/>
                <w:sz w:val="20"/>
                <w:szCs w:val="20"/>
                <w:vertAlign w:val="baseline"/>
                <w:lang w:val="en-US" w:eastAsia="zh-CN"/>
              </w:rPr>
            </w:pPr>
          </w:p>
          <w:p>
            <w:pPr>
              <w:pStyle w:val="2"/>
              <w:rPr>
                <w:rFonts w:hint="eastAsia" w:ascii="宋体" w:hAnsi="宋体" w:eastAsia="宋体" w:cs="宋体"/>
                <w:sz w:val="20"/>
                <w:szCs w:val="20"/>
                <w:vertAlign w:val="baseline"/>
                <w:lang w:val="en-US" w:eastAsia="zh-CN"/>
              </w:rPr>
            </w:pPr>
          </w:p>
          <w:p>
            <w:pPr>
              <w:rPr>
                <w:rFonts w:hint="eastAsia"/>
                <w:lang w:val="en-US" w:eastAsia="zh-CN"/>
              </w:rPr>
            </w:pPr>
          </w:p>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民营院团</w:t>
            </w:r>
          </w:p>
        </w:tc>
        <w:tc>
          <w:tcPr>
            <w:tcW w:w="4464" w:type="dxa"/>
            <w:noWrap w:val="0"/>
            <w:vAlign w:val="top"/>
          </w:tcPr>
          <w:p>
            <w:pPr>
              <w:pStyle w:val="2"/>
              <w:jc w:val="center"/>
              <w:rPr>
                <w:rFonts w:hint="eastAsia" w:ascii="宋体" w:hAnsi="宋体" w:eastAsia="宋体" w:cs="宋体"/>
                <w:color w:val="auto"/>
                <w:kern w:val="2"/>
                <w:sz w:val="20"/>
                <w:szCs w:val="20"/>
                <w:highlight w:val="none"/>
                <w:vertAlign w:val="baseline"/>
                <w:lang w:val="en-US" w:eastAsia="zh-Hans" w:bidi="ar-SA"/>
              </w:rPr>
            </w:pPr>
            <w:r>
              <w:rPr>
                <w:rFonts w:hint="eastAsia" w:ascii="宋体" w:hAnsi="宋体" w:eastAsia="宋体" w:cs="宋体"/>
                <w:b w:val="0"/>
                <w:bCs w:val="0"/>
                <w:color w:val="auto"/>
                <w:sz w:val="20"/>
                <w:szCs w:val="20"/>
                <w:highlight w:val="none"/>
                <w:lang w:val="en-US" w:eastAsia="zh-CN"/>
              </w:rPr>
              <w:t>成都哈哈曲艺社文化传播有限公司</w:t>
            </w:r>
          </w:p>
        </w:tc>
        <w:tc>
          <w:tcPr>
            <w:tcW w:w="2371" w:type="dxa"/>
            <w:noWrap w:val="0"/>
            <w:vAlign w:val="top"/>
          </w:tcPr>
          <w:p>
            <w:pPr>
              <w:jc w:val="center"/>
              <w:rPr>
                <w:rFonts w:hint="default" w:ascii="宋体" w:hAnsi="宋体" w:eastAsia="宋体" w:cs="宋体"/>
                <w:color w:val="auto"/>
                <w:kern w:val="2"/>
                <w:sz w:val="20"/>
                <w:szCs w:val="20"/>
                <w:highlight w:val="none"/>
                <w:vertAlign w:val="baseline"/>
                <w:lang w:val="en-US" w:eastAsia="zh-Hans" w:bidi="ar-SA"/>
              </w:rPr>
            </w:pPr>
            <w:r>
              <w:rPr>
                <w:rFonts w:hint="eastAsia" w:ascii="宋体" w:hAnsi="宋体" w:eastAsia="宋体" w:cs="宋体"/>
                <w:b w:val="0"/>
                <w:bCs w:val="0"/>
                <w:color w:val="auto"/>
                <w:sz w:val="20"/>
                <w:szCs w:val="20"/>
                <w:highlight w:val="none"/>
                <w:lang w:eastAsia="zh-CN"/>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1687" w:type="dxa"/>
            <w:vMerge w:val="continue"/>
            <w:noWrap w:val="0"/>
            <w:vAlign w:val="top"/>
          </w:tcPr>
          <w:p>
            <w:pPr>
              <w:pStyle w:val="2"/>
              <w:jc w:val="center"/>
              <w:rPr>
                <w:rFonts w:hint="eastAsia" w:ascii="宋体" w:hAnsi="宋体" w:eastAsia="宋体" w:cs="宋体"/>
                <w:sz w:val="20"/>
                <w:szCs w:val="20"/>
                <w:vertAlign w:val="baseline"/>
                <w:lang w:val="en-US" w:eastAsia="zh-CN"/>
              </w:rPr>
            </w:pPr>
          </w:p>
        </w:tc>
        <w:tc>
          <w:tcPr>
            <w:tcW w:w="4464" w:type="dxa"/>
            <w:noWrap w:val="0"/>
            <w:vAlign w:val="top"/>
          </w:tcPr>
          <w:p>
            <w:pPr>
              <w:pStyle w:val="2"/>
              <w:jc w:val="center"/>
              <w:rPr>
                <w:rFonts w:hint="eastAsia" w:ascii="宋体" w:hAnsi="宋体" w:eastAsia="宋体" w:cs="宋体"/>
                <w:color w:val="auto"/>
                <w:kern w:val="2"/>
                <w:sz w:val="20"/>
                <w:szCs w:val="20"/>
                <w:highlight w:val="none"/>
                <w:vertAlign w:val="baseline"/>
                <w:lang w:val="en-US" w:eastAsia="zh-Hans" w:bidi="ar-SA"/>
              </w:rPr>
            </w:pPr>
            <w:r>
              <w:rPr>
                <w:rFonts w:hint="eastAsia" w:ascii="宋体" w:hAnsi="宋体" w:eastAsia="宋体" w:cs="宋体"/>
                <w:b w:val="0"/>
                <w:bCs w:val="0"/>
                <w:color w:val="auto"/>
                <w:sz w:val="20"/>
                <w:szCs w:val="20"/>
                <w:highlight w:val="none"/>
                <w:lang w:val="en-US" w:eastAsia="zh-Hans"/>
              </w:rPr>
              <w:t>成都开心麻花</w:t>
            </w:r>
          </w:p>
        </w:tc>
        <w:tc>
          <w:tcPr>
            <w:tcW w:w="2371" w:type="dxa"/>
            <w:noWrap w:val="0"/>
            <w:vAlign w:val="top"/>
          </w:tcPr>
          <w:p>
            <w:pPr>
              <w:jc w:val="center"/>
              <w:rPr>
                <w:rFonts w:hint="default" w:ascii="宋体" w:hAnsi="宋体" w:eastAsia="宋体" w:cs="宋体"/>
                <w:color w:val="auto"/>
                <w:kern w:val="2"/>
                <w:sz w:val="20"/>
                <w:szCs w:val="20"/>
                <w:highlight w:val="none"/>
                <w:vertAlign w:val="baseline"/>
                <w:lang w:val="en-US" w:eastAsia="zh-Hans" w:bidi="ar-SA"/>
              </w:rPr>
            </w:pPr>
            <w:r>
              <w:rPr>
                <w:rFonts w:hint="default" w:ascii="宋体" w:hAnsi="宋体" w:eastAsia="宋体" w:cs="宋体"/>
                <w:color w:val="auto"/>
                <w:sz w:val="20"/>
                <w:szCs w:val="20"/>
                <w:highlight w:val="none"/>
                <w:vertAlign w:val="baseline"/>
                <w:lang w:eastAsia="zh-Hans"/>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1687" w:type="dxa"/>
            <w:vMerge w:val="continue"/>
            <w:noWrap w:val="0"/>
            <w:vAlign w:val="top"/>
          </w:tcPr>
          <w:p>
            <w:pPr>
              <w:pStyle w:val="2"/>
              <w:jc w:val="center"/>
              <w:rPr>
                <w:rFonts w:hint="eastAsia" w:ascii="宋体" w:hAnsi="宋体" w:eastAsia="宋体" w:cs="宋体"/>
                <w:sz w:val="20"/>
                <w:szCs w:val="20"/>
                <w:vertAlign w:val="baseline"/>
                <w:lang w:val="en-US" w:eastAsia="zh-CN"/>
              </w:rPr>
            </w:pPr>
          </w:p>
        </w:tc>
        <w:tc>
          <w:tcPr>
            <w:tcW w:w="4464" w:type="dxa"/>
            <w:noWrap w:val="0"/>
            <w:vAlign w:val="top"/>
          </w:tcPr>
          <w:p>
            <w:pPr>
              <w:pStyle w:val="2"/>
              <w:jc w:val="center"/>
              <w:rPr>
                <w:rFonts w:hint="eastAsia" w:ascii="宋体" w:hAnsi="宋体" w:eastAsia="宋体" w:cs="宋体"/>
                <w:b w:val="0"/>
                <w:bCs w:val="0"/>
                <w:color w:val="auto"/>
                <w:kern w:val="2"/>
                <w:sz w:val="20"/>
                <w:szCs w:val="20"/>
                <w:highlight w:val="none"/>
                <w:lang w:val="en-US" w:eastAsia="zh-Hans" w:bidi="ar-SA"/>
              </w:rPr>
            </w:pPr>
            <w:r>
              <w:rPr>
                <w:rFonts w:hint="eastAsia" w:ascii="宋体" w:hAnsi="宋体" w:eastAsia="宋体" w:cs="宋体"/>
                <w:b w:val="0"/>
                <w:bCs w:val="0"/>
                <w:color w:val="auto"/>
                <w:sz w:val="20"/>
                <w:szCs w:val="20"/>
                <w:highlight w:val="none"/>
                <w:lang w:val="en-US" w:eastAsia="zh-Hans"/>
              </w:rPr>
              <w:t>成都繁星青年戏剧团</w:t>
            </w:r>
          </w:p>
        </w:tc>
        <w:tc>
          <w:tcPr>
            <w:tcW w:w="2371" w:type="dxa"/>
            <w:noWrap w:val="0"/>
            <w:vAlign w:val="top"/>
          </w:tcPr>
          <w:p>
            <w:pPr>
              <w:pStyle w:val="2"/>
              <w:jc w:val="center"/>
              <w:rPr>
                <w:rFonts w:hint="default" w:ascii="宋体" w:hAnsi="宋体" w:eastAsia="宋体" w:cs="宋体"/>
                <w:b w:val="0"/>
                <w:bCs w:val="0"/>
                <w:color w:val="auto"/>
                <w:kern w:val="2"/>
                <w:sz w:val="20"/>
                <w:szCs w:val="20"/>
                <w:highlight w:val="none"/>
                <w:lang w:val="en-US" w:eastAsia="zh-Hans" w:bidi="ar-SA"/>
              </w:rPr>
            </w:pPr>
            <w:r>
              <w:rPr>
                <w:rFonts w:hint="default" w:ascii="宋体" w:hAnsi="宋体" w:eastAsia="宋体" w:cs="宋体"/>
                <w:b w:val="0"/>
                <w:bCs w:val="0"/>
                <w:color w:val="auto"/>
                <w:sz w:val="20"/>
                <w:szCs w:val="20"/>
                <w:highlight w:val="none"/>
                <w:lang w:eastAsia="zh-Hans"/>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kern w:val="2"/>
                <w:sz w:val="20"/>
                <w:szCs w:val="20"/>
                <w:vertAlign w:val="baseline"/>
                <w:lang w:val="en-US" w:eastAsia="zh-Hans" w:bidi="ar-SA"/>
              </w:rPr>
            </w:pPr>
          </w:p>
        </w:tc>
        <w:tc>
          <w:tcPr>
            <w:tcW w:w="4464" w:type="dxa"/>
            <w:noWrap w:val="0"/>
            <w:vAlign w:val="top"/>
          </w:tcPr>
          <w:p>
            <w:pPr>
              <w:pStyle w:val="2"/>
              <w:jc w:val="center"/>
              <w:rPr>
                <w:rFonts w:hint="eastAsia" w:ascii="宋体" w:hAnsi="宋体" w:eastAsia="宋体" w:cs="宋体"/>
                <w:color w:val="auto"/>
                <w:kern w:val="2"/>
                <w:sz w:val="20"/>
                <w:szCs w:val="20"/>
                <w:highlight w:val="none"/>
                <w:vertAlign w:val="baseline"/>
                <w:lang w:eastAsia="zh-Hans" w:bidi="ar-SA"/>
              </w:rPr>
            </w:pPr>
            <w:r>
              <w:rPr>
                <w:rFonts w:hint="eastAsia" w:ascii="宋体" w:hAnsi="宋体" w:eastAsia="宋体" w:cs="宋体"/>
                <w:b w:val="0"/>
                <w:bCs w:val="0"/>
                <w:color w:val="auto"/>
                <w:sz w:val="20"/>
                <w:szCs w:val="20"/>
                <w:highlight w:val="none"/>
                <w:lang w:val="en-US" w:eastAsia="zh-Hans"/>
              </w:rPr>
              <w:t>德阳杂技团</w:t>
            </w:r>
          </w:p>
        </w:tc>
        <w:tc>
          <w:tcPr>
            <w:tcW w:w="2371" w:type="dxa"/>
            <w:noWrap w:val="0"/>
            <w:vAlign w:val="top"/>
          </w:tcPr>
          <w:p>
            <w:pPr>
              <w:pStyle w:val="2"/>
              <w:jc w:val="center"/>
              <w:rPr>
                <w:rFonts w:hint="eastAsia" w:ascii="宋体" w:hAnsi="宋体" w:eastAsia="宋体" w:cs="宋体"/>
                <w:color w:val="auto"/>
                <w:kern w:val="2"/>
                <w:sz w:val="20"/>
                <w:szCs w:val="20"/>
                <w:highlight w:val="none"/>
                <w:vertAlign w:val="baseline"/>
                <w:lang w:eastAsia="zh-Hans" w:bidi="ar-SA"/>
              </w:rPr>
            </w:pPr>
            <w:r>
              <w:rPr>
                <w:rFonts w:hint="eastAsia" w:ascii="宋体" w:hAnsi="宋体" w:eastAsia="宋体" w:cs="宋体"/>
                <w:b w:val="0"/>
                <w:bCs w:val="0"/>
                <w:color w:val="auto"/>
                <w:sz w:val="20"/>
                <w:szCs w:val="20"/>
                <w:highlight w:val="none"/>
                <w:lang w:eastAsia="zh-Hans"/>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b w:val="0"/>
                <w:bCs w:val="0"/>
                <w:sz w:val="20"/>
                <w:szCs w:val="20"/>
                <w:lang w:val="en-US" w:eastAsia="zh-Hans"/>
              </w:rPr>
            </w:pPr>
          </w:p>
        </w:tc>
        <w:tc>
          <w:tcPr>
            <w:tcW w:w="4464" w:type="dxa"/>
            <w:noWrap w:val="0"/>
            <w:vAlign w:val="top"/>
          </w:tcPr>
          <w:p>
            <w:pPr>
              <w:pStyle w:val="2"/>
              <w:jc w:val="center"/>
              <w:rPr>
                <w:rFonts w:hint="eastAsia" w:ascii="宋体" w:hAnsi="宋体" w:eastAsia="宋体" w:cs="宋体"/>
                <w:b w:val="0"/>
                <w:bCs w:val="0"/>
                <w:color w:val="auto"/>
                <w:kern w:val="2"/>
                <w:sz w:val="20"/>
                <w:szCs w:val="20"/>
                <w:lang w:val="en-US" w:eastAsia="zh-Hans" w:bidi="ar-SA"/>
              </w:rPr>
            </w:pPr>
            <w:r>
              <w:rPr>
                <w:rFonts w:hint="eastAsia" w:ascii="宋体" w:hAnsi="宋体" w:eastAsia="宋体" w:cs="宋体"/>
                <w:b w:val="0"/>
                <w:bCs w:val="0"/>
                <w:color w:val="auto"/>
                <w:sz w:val="20"/>
                <w:szCs w:val="20"/>
                <w:lang w:val="en-US" w:eastAsia="zh-Hans"/>
              </w:rPr>
              <w:t>成都繁星儿童剧团</w:t>
            </w:r>
          </w:p>
        </w:tc>
        <w:tc>
          <w:tcPr>
            <w:tcW w:w="2371" w:type="dxa"/>
            <w:noWrap w:val="0"/>
            <w:vAlign w:val="top"/>
          </w:tcPr>
          <w:p>
            <w:pPr>
              <w:pStyle w:val="2"/>
              <w:jc w:val="center"/>
              <w:rPr>
                <w:rFonts w:hint="eastAsia" w:ascii="宋体" w:hAnsi="宋体" w:eastAsia="宋体" w:cs="宋体"/>
                <w:b w:val="0"/>
                <w:bCs w:val="0"/>
                <w:color w:val="auto"/>
                <w:kern w:val="2"/>
                <w:sz w:val="20"/>
                <w:szCs w:val="20"/>
                <w:lang w:val="en-US" w:eastAsia="zh-Hans" w:bidi="ar-SA"/>
              </w:rPr>
            </w:pPr>
            <w:r>
              <w:rPr>
                <w:rFonts w:hint="default" w:ascii="宋体" w:hAnsi="宋体" w:eastAsia="宋体" w:cs="宋体"/>
                <w:b w:val="0"/>
                <w:bCs w:val="0"/>
                <w:color w:val="auto"/>
                <w:sz w:val="20"/>
                <w:szCs w:val="20"/>
                <w:lang w:eastAsia="zh-Hans"/>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b w:val="0"/>
                <w:bCs w:val="0"/>
                <w:sz w:val="20"/>
                <w:szCs w:val="20"/>
                <w:lang w:val="en-US" w:eastAsia="zh-Hans"/>
              </w:rPr>
            </w:pPr>
          </w:p>
        </w:tc>
        <w:tc>
          <w:tcPr>
            <w:tcW w:w="4464" w:type="dxa"/>
            <w:noWrap w:val="0"/>
            <w:vAlign w:val="top"/>
          </w:tcPr>
          <w:p>
            <w:pPr>
              <w:pStyle w:val="2"/>
              <w:jc w:val="center"/>
              <w:rPr>
                <w:rFonts w:hint="eastAsia" w:ascii="宋体" w:hAnsi="宋体" w:eastAsia="宋体" w:cs="宋体"/>
                <w:b w:val="0"/>
                <w:bCs w:val="0"/>
                <w:kern w:val="2"/>
                <w:sz w:val="20"/>
                <w:szCs w:val="20"/>
                <w:lang w:val="en-US" w:eastAsia="zh-Hans" w:bidi="ar-SA"/>
              </w:rPr>
            </w:pPr>
            <w:r>
              <w:rPr>
                <w:rFonts w:hint="eastAsia" w:ascii="宋体" w:hAnsi="宋体" w:eastAsia="宋体" w:cs="宋体"/>
                <w:b w:val="0"/>
                <w:bCs w:val="0"/>
                <w:sz w:val="20"/>
                <w:szCs w:val="20"/>
                <w:lang w:val="en-US" w:eastAsia="zh-Hans"/>
              </w:rPr>
              <w:t>凤求凰剧场表演团</w:t>
            </w:r>
          </w:p>
        </w:tc>
        <w:tc>
          <w:tcPr>
            <w:tcW w:w="2371" w:type="dxa"/>
            <w:noWrap w:val="0"/>
            <w:vAlign w:val="top"/>
          </w:tcPr>
          <w:p>
            <w:pPr>
              <w:pStyle w:val="2"/>
              <w:jc w:val="center"/>
              <w:rPr>
                <w:rFonts w:hint="eastAsia" w:ascii="宋体" w:hAnsi="宋体" w:eastAsia="宋体" w:cs="宋体"/>
                <w:b w:val="0"/>
                <w:bCs w:val="0"/>
                <w:kern w:val="2"/>
                <w:sz w:val="20"/>
                <w:szCs w:val="20"/>
                <w:lang w:val="en-US" w:eastAsia="zh-Hans" w:bidi="ar-SA"/>
              </w:rPr>
            </w:pPr>
            <w:r>
              <w:rPr>
                <w:rFonts w:hint="default" w:ascii="宋体" w:hAnsi="宋体" w:eastAsia="宋体" w:cs="宋体"/>
                <w:b w:val="0"/>
                <w:bCs w:val="0"/>
                <w:sz w:val="20"/>
                <w:szCs w:val="20"/>
                <w:lang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b w:val="0"/>
                <w:bCs w:val="0"/>
                <w:sz w:val="20"/>
                <w:szCs w:val="20"/>
                <w:lang w:val="en-US" w:eastAsia="zh-Hans"/>
              </w:rPr>
            </w:pPr>
          </w:p>
        </w:tc>
        <w:tc>
          <w:tcPr>
            <w:tcW w:w="4464" w:type="dxa"/>
            <w:noWrap w:val="0"/>
            <w:vAlign w:val="top"/>
          </w:tcPr>
          <w:p>
            <w:pPr>
              <w:pStyle w:val="2"/>
              <w:jc w:val="center"/>
              <w:rPr>
                <w:rFonts w:hint="eastAsia" w:ascii="宋体" w:hAnsi="宋体" w:eastAsia="宋体" w:cs="宋体"/>
                <w:b w:val="0"/>
                <w:bCs w:val="0"/>
                <w:kern w:val="2"/>
                <w:sz w:val="20"/>
                <w:szCs w:val="20"/>
                <w:lang w:val="en-US" w:eastAsia="zh-Hans" w:bidi="ar-SA"/>
              </w:rPr>
            </w:pPr>
            <w:r>
              <w:rPr>
                <w:rFonts w:hint="eastAsia" w:ascii="宋体" w:hAnsi="宋体" w:eastAsia="宋体" w:cs="宋体"/>
                <w:b w:val="0"/>
                <w:bCs w:val="0"/>
                <w:sz w:val="20"/>
                <w:szCs w:val="20"/>
                <w:lang w:val="en-US" w:eastAsia="zh-Hans"/>
              </w:rPr>
              <w:t>大喜时代儿童剧场</w:t>
            </w:r>
          </w:p>
        </w:tc>
        <w:tc>
          <w:tcPr>
            <w:tcW w:w="2371" w:type="dxa"/>
            <w:noWrap w:val="0"/>
            <w:vAlign w:val="top"/>
          </w:tcPr>
          <w:p>
            <w:pPr>
              <w:pStyle w:val="2"/>
              <w:jc w:val="center"/>
              <w:rPr>
                <w:rFonts w:hint="eastAsia" w:ascii="宋体" w:hAnsi="宋体" w:eastAsia="宋体" w:cs="宋体"/>
                <w:b w:val="0"/>
                <w:bCs w:val="0"/>
                <w:kern w:val="2"/>
                <w:sz w:val="20"/>
                <w:szCs w:val="20"/>
                <w:lang w:val="en-US" w:eastAsia="zh-Hans" w:bidi="ar-SA"/>
              </w:rPr>
            </w:pPr>
            <w:r>
              <w:rPr>
                <w:rFonts w:hint="default" w:ascii="宋体" w:hAnsi="宋体" w:eastAsia="宋体" w:cs="宋体"/>
                <w:b w:val="0"/>
                <w:bCs w:val="0"/>
                <w:sz w:val="20"/>
                <w:szCs w:val="20"/>
                <w:lang w:eastAsia="zh-Hans"/>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b w:val="0"/>
                <w:bCs w:val="0"/>
                <w:sz w:val="20"/>
                <w:szCs w:val="20"/>
                <w:lang w:val="en-US" w:eastAsia="zh-Hans"/>
              </w:rPr>
            </w:pPr>
          </w:p>
        </w:tc>
        <w:tc>
          <w:tcPr>
            <w:tcW w:w="4464" w:type="dxa"/>
            <w:noWrap w:val="0"/>
            <w:vAlign w:val="top"/>
          </w:tcPr>
          <w:p>
            <w:pPr>
              <w:pStyle w:val="2"/>
              <w:jc w:val="center"/>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sz w:val="20"/>
                <w:szCs w:val="20"/>
                <w:lang w:val="en-US" w:eastAsia="zh-Hans"/>
              </w:rPr>
              <w:t>成都疯狂戏剧社</w:t>
            </w:r>
          </w:p>
        </w:tc>
        <w:tc>
          <w:tcPr>
            <w:tcW w:w="2371" w:type="dxa"/>
            <w:noWrap w:val="0"/>
            <w:vAlign w:val="top"/>
          </w:tcPr>
          <w:p>
            <w:pPr>
              <w:pStyle w:val="2"/>
              <w:jc w:val="center"/>
              <w:rPr>
                <w:rFonts w:hint="default" w:ascii="宋体" w:hAnsi="宋体" w:eastAsia="宋体" w:cs="宋体"/>
                <w:b w:val="0"/>
                <w:bCs w:val="0"/>
                <w:kern w:val="2"/>
                <w:sz w:val="20"/>
                <w:szCs w:val="20"/>
                <w:lang w:val="en-US" w:eastAsia="zh-CN" w:bidi="ar-SA"/>
              </w:rPr>
            </w:pPr>
            <w:r>
              <w:rPr>
                <w:rFonts w:hint="eastAsia" w:ascii="宋体" w:hAnsi="宋体" w:eastAsia="宋体" w:cs="宋体"/>
                <w:b w:val="0"/>
                <w:bCs w:val="0"/>
                <w:sz w:val="20"/>
                <w:szCs w:val="20"/>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Merge w:val="continue"/>
            <w:noWrap w:val="0"/>
            <w:vAlign w:val="top"/>
          </w:tcPr>
          <w:p>
            <w:pPr>
              <w:pStyle w:val="2"/>
              <w:jc w:val="center"/>
              <w:rPr>
                <w:rFonts w:hint="eastAsia" w:ascii="宋体" w:hAnsi="宋体" w:eastAsia="宋体" w:cs="宋体"/>
                <w:b w:val="0"/>
                <w:bCs w:val="0"/>
                <w:sz w:val="20"/>
                <w:szCs w:val="20"/>
                <w:lang w:val="en-US" w:eastAsia="zh-Hans"/>
              </w:rPr>
            </w:pPr>
          </w:p>
        </w:tc>
        <w:tc>
          <w:tcPr>
            <w:tcW w:w="4464" w:type="dxa"/>
            <w:noWrap w:val="0"/>
            <w:vAlign w:val="top"/>
          </w:tcPr>
          <w:p>
            <w:pPr>
              <w:pStyle w:val="2"/>
              <w:jc w:val="center"/>
              <w:rPr>
                <w:rFonts w:hint="eastAsia" w:ascii="宋体" w:hAnsi="宋体" w:eastAsia="宋体" w:cs="宋体"/>
                <w:b w:val="0"/>
                <w:bCs w:val="0"/>
                <w:kern w:val="2"/>
                <w:sz w:val="20"/>
                <w:szCs w:val="20"/>
                <w:lang w:val="en-US" w:eastAsia="zh-Hans" w:bidi="ar-SA"/>
              </w:rPr>
            </w:pPr>
            <w:r>
              <w:rPr>
                <w:rFonts w:hint="eastAsia" w:ascii="宋体" w:hAnsi="宋体" w:eastAsia="宋体" w:cs="宋体"/>
                <w:b w:val="0"/>
                <w:bCs w:val="0"/>
                <w:sz w:val="20"/>
                <w:szCs w:val="20"/>
                <w:lang w:val="en-US" w:eastAsia="zh-Hans"/>
              </w:rPr>
              <w:t>大庸戏剧社</w:t>
            </w:r>
          </w:p>
        </w:tc>
        <w:tc>
          <w:tcPr>
            <w:tcW w:w="2371" w:type="dxa"/>
            <w:noWrap w:val="0"/>
            <w:vAlign w:val="top"/>
          </w:tcPr>
          <w:p>
            <w:pPr>
              <w:pStyle w:val="2"/>
              <w:jc w:val="center"/>
              <w:rPr>
                <w:rFonts w:hint="eastAsia" w:ascii="宋体" w:hAnsi="宋体" w:eastAsia="宋体" w:cs="宋体"/>
                <w:b w:val="0"/>
                <w:bCs w:val="0"/>
                <w:kern w:val="2"/>
                <w:sz w:val="20"/>
                <w:szCs w:val="20"/>
                <w:lang w:val="en-US" w:eastAsia="zh-Hans" w:bidi="ar-SA"/>
              </w:rPr>
            </w:pPr>
            <w:r>
              <w:rPr>
                <w:rFonts w:hint="default" w:ascii="宋体" w:hAnsi="宋体" w:eastAsia="宋体" w:cs="宋体"/>
                <w:b w:val="0"/>
                <w:bCs w:val="0"/>
                <w:sz w:val="20"/>
                <w:szCs w:val="20"/>
                <w:lang w:eastAsia="zh-Hans"/>
              </w:rPr>
              <w:t>16</w:t>
            </w:r>
          </w:p>
        </w:tc>
      </w:tr>
    </w:tbl>
    <w:p>
      <w:pPr>
        <w:pStyle w:val="18"/>
        <w:spacing w:after="156" w:afterLines="50"/>
        <w:ind w:left="0" w:leftChars="0" w:firstLine="0" w:firstLineChars="0"/>
        <w:jc w:val="both"/>
        <w:rPr>
          <w:rFonts w:hint="eastAsia" w:ascii="黑体" w:hAnsi="黑体" w:eastAsia="黑体" w:cs="黑体"/>
          <w:b w:val="0"/>
          <w:bCs w:val="0"/>
          <w:sz w:val="32"/>
          <w:szCs w:val="32"/>
          <w:highlight w:val="none"/>
          <w:lang w:val="en-US" w:eastAsia="zh-CN"/>
        </w:rPr>
      </w:pPr>
    </w:p>
    <w:p>
      <w:pPr>
        <w:ind w:firstLine="640" w:firstLineChars="200"/>
        <w:jc w:val="left"/>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二、四川省文艺表演团体的运营</w:t>
      </w:r>
      <w:bookmarkEnd w:id="5"/>
      <w:r>
        <w:rPr>
          <w:rFonts w:hint="eastAsia" w:ascii="黑体" w:hAnsi="黑体" w:eastAsia="黑体" w:cs="黑体"/>
          <w:b w:val="0"/>
          <w:bCs w:val="0"/>
          <w:sz w:val="32"/>
          <w:szCs w:val="32"/>
          <w:highlight w:val="none"/>
          <w:lang w:val="en-US" w:eastAsia="zh-CN"/>
        </w:rPr>
        <w:t>状况</w:t>
      </w:r>
      <w:bookmarkEnd w:id="6"/>
    </w:p>
    <w:p>
      <w:pPr>
        <w:ind w:firstLine="643" w:firstLineChars="200"/>
        <w:jc w:val="both"/>
        <w:rPr>
          <w:rFonts w:hint="eastAsia" w:ascii="仿宋_GB2312" w:hAnsi="仿宋_GB2312" w:eastAsia="仿宋_GB2312" w:cs="仿宋_GB2312"/>
          <w:b/>
          <w:bCs/>
          <w:sz w:val="32"/>
          <w:szCs w:val="32"/>
          <w:highlight w:val="none"/>
          <w:lang w:val="en-US" w:eastAsia="zh-CN"/>
        </w:rPr>
      </w:pPr>
      <w:bookmarkStart w:id="7" w:name="_Toc245558593"/>
      <w:bookmarkStart w:id="8" w:name="_Toc213754288"/>
      <w:r>
        <w:rPr>
          <w:rFonts w:hint="eastAsia" w:ascii="仿宋_GB2312" w:hAnsi="仿宋_GB2312" w:eastAsia="仿宋_GB2312" w:cs="仿宋_GB2312"/>
          <w:b/>
          <w:bCs/>
          <w:sz w:val="32"/>
          <w:szCs w:val="32"/>
          <w:highlight w:val="none"/>
          <w:lang w:val="en-US" w:eastAsia="zh-CN"/>
        </w:rPr>
        <w:t>1. 从性质来看，国有团体在川剧、歌舞类等方面占优势，民营团体在话剧领域创作更为活跃</w:t>
      </w:r>
      <w:bookmarkEnd w:id="7"/>
    </w:p>
    <w:p>
      <w:pPr>
        <w:ind w:firstLine="640" w:firstLineChars="200"/>
        <w:jc w:val="both"/>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从团体的性质来看，国有团体在川剧、歌舞类等内容的创作上更占优势。川剧类，代表性的川剧创作案例有四川艺术职业学院与四川省川剧院联合打造的大型原创川剧《草鞋县令》，以冲击第十七届“文华大奖”为目标。该剧集结了国家话剧院原副院长、国内著名导演查明哲，陈智林、肖德美、刘谊等4位梅花奖得主，国家一级作曲李天鑫，大量优秀四川青年演员，坚实的舞美、灯光和服化道等代表当今川剧最高水平的“顶配”团队。</w:t>
      </w:r>
      <w:r>
        <w:rPr>
          <w:rFonts w:hint="eastAsia" w:ascii="仿宋_GB2312" w:hAnsi="仿宋_GB2312" w:eastAsia="仿宋_GB2312" w:cs="仿宋_GB2312"/>
          <w:b w:val="0"/>
          <w:bCs w:val="0"/>
          <w:sz w:val="32"/>
          <w:szCs w:val="32"/>
          <w:highlight w:val="none"/>
          <w:u w:val="none"/>
          <w:lang w:val="en-US" w:eastAsia="zh-CN"/>
        </w:rPr>
        <w:t>舞剧类，</w:t>
      </w:r>
      <w:r>
        <w:rPr>
          <w:rFonts w:hint="eastAsia" w:ascii="仿宋_GB2312" w:hAnsi="仿宋_GB2312" w:eastAsia="仿宋_GB2312" w:cs="仿宋_GB2312"/>
          <w:b w:val="0"/>
          <w:bCs w:val="0"/>
          <w:sz w:val="32"/>
          <w:szCs w:val="32"/>
          <w:highlight w:val="none"/>
          <w:lang w:val="en-US" w:eastAsia="zh-CN"/>
        </w:rPr>
        <w:t>成都艺术剧院有限责任公司出品的舞剧《努力餐》，2021年该剧作为四川省、成都市唯一一部入选中宣部、文旅部、中国文联联合主办的“庆祝中国共产党成立100周年优秀舞台艺术作品展演”剧目进京演出，并在四川省庆祝中国共产党成立100周年优秀剧目展演季“我心目中最喜爱的红色剧目”评选中，荣获“最佳剧目”称号，被国家文旅部评为“第十三届全国舞蹈展演优秀剧目”。</w:t>
      </w:r>
    </w:p>
    <w:p>
      <w:pPr>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而民营团体在话剧领域的创作更为活跃。近几年随着民营团体准入的放开，四川省话剧市场诞生了一批以小剧场戏为主的民营剧团，如开心麻花、疯狂戏剧社、成都哈哈曲艺社等，他们的创作大多以都市情感戏和搞笑戏剧为主，娱乐性特征十分明显。以开心麻花为例，</w:t>
      </w:r>
      <w:r>
        <w:rPr>
          <w:rFonts w:hint="eastAsia" w:ascii="仿宋_GB2312" w:hAnsi="仿宋_GB2312" w:eastAsia="仿宋_GB2312" w:cs="仿宋_GB2312"/>
          <w:b w:val="0"/>
          <w:bCs w:val="0"/>
          <w:sz w:val="32"/>
          <w:szCs w:val="32"/>
          <w:highlight w:val="none"/>
          <w:lang w:val="en-US" w:eastAsia="zh-Hans"/>
        </w:rPr>
        <w:t>开心麻花</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Hans"/>
        </w:rPr>
        <w:t>西南</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Hans"/>
        </w:rPr>
        <w:t>公司自</w:t>
      </w:r>
      <w:r>
        <w:rPr>
          <w:rFonts w:hint="default" w:ascii="仿宋_GB2312" w:hAnsi="仿宋_GB2312" w:eastAsia="仿宋_GB2312" w:cs="仿宋_GB2312"/>
          <w:b w:val="0"/>
          <w:bCs w:val="0"/>
          <w:sz w:val="32"/>
          <w:szCs w:val="32"/>
          <w:highlight w:val="none"/>
          <w:lang w:val="en-US" w:eastAsia="zh-Hans"/>
        </w:rPr>
        <w:t>2014</w:t>
      </w:r>
      <w:r>
        <w:rPr>
          <w:rFonts w:hint="eastAsia" w:ascii="仿宋_GB2312" w:hAnsi="仿宋_GB2312" w:eastAsia="仿宋_GB2312" w:cs="仿宋_GB2312"/>
          <w:b w:val="0"/>
          <w:bCs w:val="0"/>
          <w:sz w:val="32"/>
          <w:szCs w:val="32"/>
          <w:highlight w:val="none"/>
          <w:lang w:val="en-US" w:eastAsia="zh-Hans"/>
        </w:rPr>
        <w:t>年落地成都以来已演出《</w:t>
      </w:r>
      <w:r>
        <w:rPr>
          <w:rFonts w:hint="eastAsia" w:ascii="仿宋_GB2312" w:hAnsi="仿宋_GB2312" w:eastAsia="仿宋_GB2312" w:cs="仿宋_GB2312"/>
          <w:b w:val="0"/>
          <w:bCs w:val="0"/>
          <w:sz w:val="32"/>
          <w:szCs w:val="32"/>
          <w:highlight w:val="none"/>
          <w:lang w:val="en-US" w:eastAsia="zh-CN"/>
        </w:rPr>
        <w:t>瞎画艺术家</w:t>
      </w:r>
      <w:r>
        <w:rPr>
          <w:rFonts w:hint="eastAsia"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CN"/>
        </w:rPr>
        <w:t>乌龙山伯爵</w:t>
      </w:r>
      <w:r>
        <w:rPr>
          <w:rFonts w:hint="eastAsia" w:ascii="仿宋_GB2312" w:hAnsi="仿宋_GB2312" w:eastAsia="仿宋_GB2312" w:cs="仿宋_GB2312"/>
          <w:b w:val="0"/>
          <w:bCs w:val="0"/>
          <w:sz w:val="32"/>
          <w:szCs w:val="32"/>
          <w:highlight w:val="none"/>
          <w:lang w:val="en-US" w:eastAsia="zh-Hans"/>
        </w:rPr>
        <w:t>》《窗前不止明月光》《</w:t>
      </w:r>
      <w:r>
        <w:rPr>
          <w:rFonts w:hint="eastAsia" w:ascii="仿宋_GB2312" w:hAnsi="仿宋_GB2312" w:eastAsia="仿宋_GB2312" w:cs="仿宋_GB2312"/>
          <w:b w:val="0"/>
          <w:bCs w:val="0"/>
          <w:sz w:val="32"/>
          <w:szCs w:val="32"/>
          <w:highlight w:val="none"/>
          <w:lang w:val="en-US" w:eastAsia="zh-CN"/>
        </w:rPr>
        <w:t>了不起的爹地</w:t>
      </w:r>
      <w:r>
        <w:rPr>
          <w:rFonts w:hint="eastAsia" w:ascii="仿宋_GB2312" w:hAnsi="仿宋_GB2312" w:eastAsia="仿宋_GB2312" w:cs="仿宋_GB2312"/>
          <w:b w:val="0"/>
          <w:bCs w:val="0"/>
          <w:sz w:val="32"/>
          <w:szCs w:val="32"/>
          <w:highlight w:val="none"/>
          <w:lang w:val="en-US" w:eastAsia="zh-Hans"/>
        </w:rPr>
        <w:t>》《恋爱吧人类》等原创舞台剧</w:t>
      </w:r>
      <w:r>
        <w:rPr>
          <w:rFonts w:hint="eastAsia" w:ascii="仿宋_GB2312" w:hAnsi="仿宋_GB2312" w:eastAsia="仿宋_GB2312" w:cs="仿宋_GB2312"/>
          <w:b w:val="0"/>
          <w:bCs w:val="0"/>
          <w:sz w:val="32"/>
          <w:szCs w:val="32"/>
          <w:highlight w:val="none"/>
          <w:lang w:val="en-US" w:eastAsia="zh-CN"/>
        </w:rPr>
        <w:t>超1600余场</w:t>
      </w:r>
      <w:r>
        <w:rPr>
          <w:rFonts w:hint="default"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highlight w:val="none"/>
          <w:lang w:val="en-US" w:eastAsia="zh-CN"/>
        </w:rPr>
        <w:t>接待</w:t>
      </w:r>
      <w:r>
        <w:rPr>
          <w:rFonts w:hint="eastAsia" w:ascii="仿宋_GB2312" w:hAnsi="仿宋_GB2312" w:eastAsia="仿宋_GB2312" w:cs="仿宋_GB2312"/>
          <w:b w:val="0"/>
          <w:bCs w:val="0"/>
          <w:sz w:val="32"/>
          <w:szCs w:val="32"/>
          <w:highlight w:val="none"/>
          <w:lang w:val="en-US" w:eastAsia="zh-Hans"/>
        </w:rPr>
        <w:t>观众超</w:t>
      </w:r>
      <w:r>
        <w:rPr>
          <w:rFonts w:hint="eastAsia" w:ascii="仿宋_GB2312" w:hAnsi="仿宋_GB2312" w:eastAsia="仿宋_GB2312" w:cs="仿宋_GB2312"/>
          <w:b w:val="0"/>
          <w:bCs w:val="0"/>
          <w:sz w:val="32"/>
          <w:szCs w:val="32"/>
          <w:highlight w:val="none"/>
          <w:lang w:val="en-US" w:eastAsia="zh-CN"/>
        </w:rPr>
        <w:t>112</w:t>
      </w:r>
      <w:r>
        <w:rPr>
          <w:rFonts w:hint="eastAsia" w:ascii="仿宋_GB2312" w:hAnsi="仿宋_GB2312" w:eastAsia="仿宋_GB2312" w:cs="仿宋_GB2312"/>
          <w:b w:val="0"/>
          <w:bCs w:val="0"/>
          <w:sz w:val="32"/>
          <w:szCs w:val="32"/>
          <w:highlight w:val="none"/>
          <w:lang w:val="en-US" w:eastAsia="zh-Hans"/>
        </w:rPr>
        <w:t>万</w:t>
      </w:r>
      <w:r>
        <w:rPr>
          <w:rFonts w:hint="eastAsia" w:ascii="仿宋_GB2312" w:hAnsi="仿宋_GB2312" w:eastAsia="仿宋_GB2312" w:cs="仿宋_GB2312"/>
          <w:b w:val="0"/>
          <w:bCs w:val="0"/>
          <w:sz w:val="32"/>
          <w:szCs w:val="32"/>
          <w:highlight w:val="none"/>
          <w:lang w:val="en-US" w:eastAsia="zh-CN"/>
        </w:rPr>
        <w:t>余人次</w:t>
      </w:r>
      <w:r>
        <w:rPr>
          <w:rFonts w:hint="default"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highlight w:val="none"/>
          <w:lang w:val="en-US" w:eastAsia="zh-Hans"/>
        </w:rPr>
        <w:t>据灯塔与猫眼等</w:t>
      </w:r>
      <w:r>
        <w:rPr>
          <w:rFonts w:hint="eastAsia" w:ascii="仿宋_GB2312" w:hAnsi="仿宋_GB2312" w:eastAsia="仿宋_GB2312" w:cs="仿宋_GB2312"/>
          <w:b w:val="0"/>
          <w:bCs w:val="0"/>
          <w:sz w:val="32"/>
          <w:szCs w:val="32"/>
          <w:highlight w:val="none"/>
          <w:lang w:val="en-US" w:eastAsia="zh-CN"/>
        </w:rPr>
        <w:t>统计</w:t>
      </w:r>
      <w:r>
        <w:rPr>
          <w:rFonts w:hint="eastAsia" w:ascii="仿宋_GB2312" w:hAnsi="仿宋_GB2312" w:eastAsia="仿宋_GB2312" w:cs="仿宋_GB2312"/>
          <w:b w:val="0"/>
          <w:bCs w:val="0"/>
          <w:sz w:val="32"/>
          <w:szCs w:val="32"/>
          <w:highlight w:val="none"/>
          <w:lang w:val="en-US" w:eastAsia="zh-Hans"/>
        </w:rPr>
        <w:t>数据</w:t>
      </w:r>
      <w:r>
        <w:rPr>
          <w:rFonts w:hint="eastAsia" w:ascii="仿宋_GB2312" w:hAnsi="仿宋_GB2312" w:eastAsia="仿宋_GB2312" w:cs="仿宋_GB2312"/>
          <w:b w:val="0"/>
          <w:bCs w:val="0"/>
          <w:sz w:val="32"/>
          <w:szCs w:val="32"/>
          <w:highlight w:val="none"/>
          <w:lang w:val="en-US" w:eastAsia="zh-CN"/>
        </w:rPr>
        <w:t>，2021年全国演出场次四川排名第四名，</w:t>
      </w:r>
      <w:r>
        <w:rPr>
          <w:rFonts w:hint="eastAsia" w:ascii="仿宋_GB2312" w:hAnsi="仿宋_GB2312" w:eastAsia="仿宋_GB2312" w:cs="仿宋_GB2312"/>
          <w:b w:val="0"/>
          <w:bCs w:val="0"/>
          <w:sz w:val="32"/>
          <w:szCs w:val="32"/>
          <w:highlight w:val="none"/>
          <w:lang w:val="en-US" w:eastAsia="zh-Hans"/>
        </w:rPr>
        <w:t>已</w:t>
      </w:r>
      <w:r>
        <w:rPr>
          <w:rFonts w:hint="eastAsia" w:ascii="仿宋_GB2312" w:hAnsi="仿宋_GB2312" w:eastAsia="仿宋_GB2312" w:cs="仿宋_GB2312"/>
          <w:b w:val="0"/>
          <w:bCs w:val="0"/>
          <w:sz w:val="32"/>
          <w:szCs w:val="32"/>
          <w:highlight w:val="none"/>
          <w:lang w:val="en-US" w:eastAsia="zh-CN"/>
        </w:rPr>
        <w:t>成为</w:t>
      </w:r>
      <w:r>
        <w:rPr>
          <w:rFonts w:hint="eastAsia" w:ascii="仿宋_GB2312" w:hAnsi="仿宋_GB2312" w:eastAsia="仿宋_GB2312" w:cs="仿宋_GB2312"/>
          <w:b w:val="0"/>
          <w:bCs w:val="0"/>
          <w:sz w:val="32"/>
          <w:szCs w:val="32"/>
          <w:highlight w:val="none"/>
          <w:lang w:val="en-US" w:eastAsia="zh-Hans"/>
        </w:rPr>
        <w:t>成都</w:t>
      </w:r>
      <w:r>
        <w:rPr>
          <w:rFonts w:hint="eastAsia" w:ascii="仿宋_GB2312" w:hAnsi="仿宋_GB2312" w:eastAsia="仿宋_GB2312" w:cs="仿宋_GB2312"/>
          <w:b w:val="0"/>
          <w:bCs w:val="0"/>
          <w:sz w:val="32"/>
          <w:szCs w:val="32"/>
          <w:highlight w:val="none"/>
          <w:lang w:val="en-US" w:eastAsia="zh-CN"/>
        </w:rPr>
        <w:t>商业</w:t>
      </w:r>
      <w:r>
        <w:rPr>
          <w:rFonts w:hint="eastAsia" w:ascii="仿宋_GB2312" w:hAnsi="仿宋_GB2312" w:eastAsia="仿宋_GB2312" w:cs="仿宋_GB2312"/>
          <w:b w:val="0"/>
          <w:bCs w:val="0"/>
          <w:sz w:val="32"/>
          <w:szCs w:val="32"/>
          <w:highlight w:val="none"/>
          <w:lang w:val="en-US" w:eastAsia="zh-Hans"/>
        </w:rPr>
        <w:t>演出</w:t>
      </w:r>
      <w:r>
        <w:rPr>
          <w:rFonts w:hint="eastAsia" w:ascii="仿宋_GB2312" w:hAnsi="仿宋_GB2312" w:eastAsia="仿宋_GB2312" w:cs="仿宋_GB2312"/>
          <w:b w:val="0"/>
          <w:bCs w:val="0"/>
          <w:sz w:val="32"/>
          <w:szCs w:val="32"/>
          <w:highlight w:val="none"/>
          <w:lang w:val="en-US" w:eastAsia="zh-CN"/>
        </w:rPr>
        <w:t>市场份额</w:t>
      </w:r>
      <w:r>
        <w:rPr>
          <w:rFonts w:hint="eastAsia" w:ascii="仿宋_GB2312" w:hAnsi="仿宋_GB2312" w:eastAsia="仿宋_GB2312" w:cs="仿宋_GB2312"/>
          <w:b w:val="0"/>
          <w:bCs w:val="0"/>
          <w:sz w:val="32"/>
          <w:szCs w:val="32"/>
          <w:highlight w:val="none"/>
          <w:lang w:val="en-US" w:eastAsia="zh-Hans"/>
        </w:rPr>
        <w:t>前列</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highlight w:val="none"/>
          <w:lang w:val="en-US" w:eastAsia="zh-Hans"/>
        </w:rPr>
        <w:t>票房</w:t>
      </w:r>
      <w:r>
        <w:rPr>
          <w:rFonts w:hint="eastAsia" w:ascii="仿宋_GB2312" w:hAnsi="仿宋_GB2312" w:eastAsia="仿宋_GB2312" w:cs="仿宋_GB2312"/>
          <w:b w:val="0"/>
          <w:bCs w:val="0"/>
          <w:sz w:val="32"/>
          <w:szCs w:val="32"/>
          <w:highlight w:val="none"/>
          <w:lang w:val="en-US" w:eastAsia="zh-CN"/>
        </w:rPr>
        <w:t>占有率高及运营规模大的</w:t>
      </w:r>
      <w:r>
        <w:rPr>
          <w:rFonts w:hint="eastAsia" w:ascii="仿宋_GB2312" w:hAnsi="仿宋_GB2312" w:eastAsia="仿宋_GB2312" w:cs="仿宋_GB2312"/>
          <w:b w:val="0"/>
          <w:bCs w:val="0"/>
          <w:sz w:val="32"/>
          <w:szCs w:val="32"/>
          <w:highlight w:val="none"/>
          <w:lang w:val="en-US" w:eastAsia="zh-Hans"/>
        </w:rPr>
        <w:t>本土化</w:t>
      </w:r>
      <w:r>
        <w:rPr>
          <w:rFonts w:hint="eastAsia" w:ascii="仿宋_GB2312" w:hAnsi="仿宋_GB2312" w:eastAsia="仿宋_GB2312" w:cs="仿宋_GB2312"/>
          <w:b w:val="0"/>
          <w:bCs w:val="0"/>
          <w:sz w:val="32"/>
          <w:szCs w:val="32"/>
          <w:highlight w:val="none"/>
          <w:lang w:val="en-US" w:eastAsia="zh-CN"/>
        </w:rPr>
        <w:t>民营</w:t>
      </w:r>
      <w:r>
        <w:rPr>
          <w:rFonts w:hint="eastAsia" w:ascii="仿宋_GB2312" w:hAnsi="仿宋_GB2312" w:eastAsia="仿宋_GB2312" w:cs="仿宋_GB2312"/>
          <w:b w:val="0"/>
          <w:bCs w:val="0"/>
          <w:sz w:val="32"/>
          <w:szCs w:val="32"/>
          <w:highlight w:val="none"/>
          <w:lang w:val="en-US" w:eastAsia="zh-Hans"/>
        </w:rPr>
        <w:t>演出</w:t>
      </w:r>
      <w:r>
        <w:rPr>
          <w:rFonts w:hint="eastAsia" w:ascii="仿宋_GB2312" w:hAnsi="仿宋_GB2312" w:eastAsia="仿宋_GB2312" w:cs="仿宋_GB2312"/>
          <w:b w:val="0"/>
          <w:bCs w:val="0"/>
          <w:sz w:val="32"/>
          <w:szCs w:val="32"/>
          <w:highlight w:val="none"/>
          <w:lang w:val="en-US" w:eastAsia="zh-CN"/>
        </w:rPr>
        <w:t>公司</w:t>
      </w:r>
      <w:r>
        <w:rPr>
          <w:rFonts w:hint="default"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highlight w:val="none"/>
          <w:lang w:val="en-US" w:eastAsia="zh-CN"/>
        </w:rPr>
        <w:t>无论从创作数量还是从市场反响来看，其发展势头已经超过了某些国有剧团。这种以小剧场戏为特色的民营剧团，将话剧带入了一个新的娱乐时代。</w:t>
      </w:r>
    </w:p>
    <w:p>
      <w:pPr>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当然，民营剧团的活跃在为市场创造繁荣景象的同时，也带了一些隐忧，那就是泥沙俱下、鱼龙混杂，以及同质化现象。市场在把好的作品带给观众的同时，也出现了不少粗制滥造的产品。部分地方民营演出团体之间存在的恶性竞争的手段，例如，互相压价、以次充好，扰乱市场正常秩序，甚至还打着大剧场的牌子承揽演出，弄虚作假、糊弄观众，损害了消费者的利益，一定程度影响到了艺术的质量和文化的导向。当然不可否认的是，民营剧团为话剧甚至其他形式的舞台剧争取到了更大的观众群，同时也为国有剧团提供了市场化运作的成功经验，在观众定位、策划宣传、成本控制、人员管理、营销服务、吸引资金等方面，都是值得国有剧团借鉴和学习的。</w:t>
      </w:r>
    </w:p>
    <w:p>
      <w:pPr>
        <w:pStyle w:val="18"/>
        <w:spacing w:after="156" w:afterLines="50"/>
        <w:ind w:left="419" w:hanging="62"/>
        <w:jc w:val="center"/>
        <w:rPr>
          <w:rStyle w:val="19"/>
          <w:rFonts w:hint="eastAsia" w:ascii="华文中宋" w:hAnsi="华文中宋" w:eastAsia="华文中宋"/>
        </w:rPr>
      </w:pPr>
      <w:r>
        <w:rPr>
          <w:rStyle w:val="19"/>
          <w:rFonts w:hint="eastAsia" w:ascii="华文中宋" w:hAnsi="华文中宋" w:eastAsia="华文中宋"/>
        </w:rPr>
        <w:t>图表</w:t>
      </w:r>
      <w:r>
        <w:rPr>
          <w:rStyle w:val="19"/>
          <w:rFonts w:hint="eastAsia" w:ascii="华文中宋" w:hAnsi="华文中宋" w:eastAsia="华文中宋"/>
          <w:lang w:val="en-US" w:eastAsia="zh-CN"/>
        </w:rPr>
        <w:t>5</w:t>
      </w:r>
      <w:r>
        <w:rPr>
          <w:rStyle w:val="19"/>
          <w:rFonts w:hint="eastAsia" w:ascii="华文中宋" w:hAnsi="华文中宋" w:eastAsia="华文中宋"/>
        </w:rPr>
        <w:t>-</w:t>
      </w:r>
      <w:r>
        <w:rPr>
          <w:rStyle w:val="19"/>
          <w:rFonts w:hint="eastAsia" w:ascii="华文中宋" w:hAnsi="华文中宋" w:eastAsia="华文中宋"/>
          <w:lang w:val="en-US" w:eastAsia="zh-CN"/>
        </w:rPr>
        <w:t>5</w:t>
      </w:r>
      <w:r>
        <w:rPr>
          <w:rStyle w:val="19"/>
          <w:rFonts w:hint="eastAsia" w:ascii="华文中宋" w:hAnsi="华文中宋" w:eastAsia="华文中宋"/>
        </w:rPr>
        <w:t xml:space="preserve"> </w:t>
      </w:r>
      <w:r>
        <w:rPr>
          <w:rStyle w:val="19"/>
          <w:rFonts w:hint="eastAsia" w:ascii="华文中宋" w:hAnsi="华文中宋" w:eastAsia="华文中宋"/>
          <w:lang w:val="en-US" w:eastAsia="zh-CN"/>
        </w:rPr>
        <w:t>四川省</w:t>
      </w:r>
      <w:r>
        <w:rPr>
          <w:rStyle w:val="19"/>
          <w:rFonts w:hint="eastAsia" w:ascii="华文中宋" w:hAnsi="华文中宋" w:eastAsia="华文中宋"/>
        </w:rPr>
        <w:t>国有话剧团与民营话剧团创作比较</w:t>
      </w:r>
    </w:p>
    <w:tbl>
      <w:tblPr>
        <w:tblStyle w:val="13"/>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980"/>
        <w:gridCol w:w="324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080"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团体类型</w:t>
            </w:r>
          </w:p>
        </w:tc>
        <w:tc>
          <w:tcPr>
            <w:tcW w:w="1980"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创作人员</w:t>
            </w:r>
          </w:p>
        </w:tc>
        <w:tc>
          <w:tcPr>
            <w:tcW w:w="3240"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创作特点</w:t>
            </w:r>
          </w:p>
        </w:tc>
        <w:tc>
          <w:tcPr>
            <w:tcW w:w="1980"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8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国有剧团</w:t>
            </w:r>
          </w:p>
        </w:tc>
        <w:tc>
          <w:tcPr>
            <w:tcW w:w="198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有自己固定的创作班子</w:t>
            </w:r>
          </w:p>
        </w:tc>
        <w:tc>
          <w:tcPr>
            <w:tcW w:w="324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创作力量强，剧目比较经典，制作精致，演出精彩，但剧目少（尤其是新创剧目少）</w:t>
            </w:r>
          </w:p>
        </w:tc>
        <w:tc>
          <w:tcPr>
            <w:tcW w:w="1980" w:type="dxa"/>
            <w:noWrap w:val="0"/>
            <w:vAlign w:val="center"/>
          </w:tcPr>
          <w:p>
            <w:pPr>
              <w:spacing w:line="0" w:lineRule="atLeast"/>
              <w:rPr>
                <w:rFonts w:hint="eastAsia" w:ascii="华文中宋" w:hAnsi="华文中宋" w:eastAsia="华文中宋"/>
                <w:sz w:val="18"/>
                <w:szCs w:val="18"/>
                <w:lang w:eastAsia="zh-CN"/>
              </w:rPr>
            </w:pPr>
            <w:r>
              <w:rPr>
                <w:rFonts w:hint="eastAsia" w:ascii="华文中宋" w:hAnsi="华文中宋" w:eastAsia="华文中宋"/>
                <w:sz w:val="18"/>
                <w:szCs w:val="18"/>
              </w:rPr>
              <w:t>有政府资金</w:t>
            </w:r>
            <w:r>
              <w:rPr>
                <w:rFonts w:hint="eastAsia" w:ascii="华文中宋" w:hAnsi="华文中宋" w:eastAsia="华文中宋"/>
                <w:sz w:val="18"/>
                <w:szCs w:val="18"/>
                <w:lang w:eastAsia="zh-CN"/>
              </w:rPr>
              <w:t>、</w:t>
            </w:r>
            <w:r>
              <w:rPr>
                <w:rFonts w:hint="eastAsia" w:ascii="华文中宋" w:hAnsi="华文中宋" w:eastAsia="华文中宋"/>
                <w:sz w:val="18"/>
                <w:szCs w:val="18"/>
                <w:lang w:val="en-US" w:eastAsia="zh-CN"/>
              </w:rPr>
              <w:t>专项</w:t>
            </w:r>
            <w:r>
              <w:rPr>
                <w:rFonts w:hint="eastAsia" w:ascii="华文中宋" w:hAnsi="华文中宋" w:eastAsia="华文中宋"/>
                <w:sz w:val="18"/>
                <w:szCs w:val="18"/>
              </w:rPr>
              <w:t>支持，制作</w:t>
            </w:r>
            <w:r>
              <w:rPr>
                <w:rFonts w:hint="eastAsia" w:ascii="华文中宋" w:hAnsi="华文中宋" w:eastAsia="华文中宋"/>
                <w:sz w:val="18"/>
                <w:szCs w:val="18"/>
                <w:lang w:val="en-US" w:eastAsia="zh-CN"/>
              </w:rPr>
              <w:t>周期长、品质稳定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8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民营剧团</w:t>
            </w:r>
          </w:p>
        </w:tc>
        <w:tc>
          <w:tcPr>
            <w:tcW w:w="1980" w:type="dxa"/>
            <w:noWrap w:val="0"/>
            <w:vAlign w:val="center"/>
          </w:tcPr>
          <w:p>
            <w:pPr>
              <w:spacing w:line="0" w:lineRule="atLeast"/>
              <w:rPr>
                <w:rFonts w:hint="eastAsia" w:ascii="华文中宋" w:hAnsi="华文中宋" w:eastAsia="华文中宋"/>
                <w:sz w:val="18"/>
                <w:szCs w:val="18"/>
                <w:lang w:eastAsia="zh-CN"/>
              </w:rPr>
            </w:pPr>
            <w:r>
              <w:rPr>
                <w:rFonts w:hint="eastAsia" w:ascii="华文中宋" w:hAnsi="华文中宋" w:eastAsia="华文中宋"/>
                <w:sz w:val="18"/>
                <w:szCs w:val="18"/>
              </w:rPr>
              <w:t>部分有自己的创作班子（如</w:t>
            </w:r>
            <w:r>
              <w:rPr>
                <w:rFonts w:hint="eastAsia" w:ascii="华文中宋" w:hAnsi="华文中宋" w:eastAsia="华文中宋"/>
                <w:sz w:val="18"/>
                <w:szCs w:val="18"/>
                <w:lang w:val="en-US" w:eastAsia="zh-CN"/>
              </w:rPr>
              <w:t>开心麻花</w:t>
            </w:r>
            <w:r>
              <w:rPr>
                <w:rFonts w:hint="eastAsia" w:ascii="华文中宋" w:hAnsi="华文中宋" w:eastAsia="华文中宋"/>
                <w:sz w:val="18"/>
                <w:szCs w:val="18"/>
              </w:rPr>
              <w:t>等），部分聘请外部人员进行创作</w:t>
            </w:r>
            <w:r>
              <w:rPr>
                <w:rFonts w:hint="eastAsia" w:ascii="华文中宋" w:hAnsi="华文中宋" w:eastAsia="华文中宋"/>
                <w:sz w:val="18"/>
                <w:szCs w:val="18"/>
                <w:lang w:eastAsia="zh-CN"/>
              </w:rPr>
              <w:t>。</w:t>
            </w:r>
          </w:p>
        </w:tc>
        <w:tc>
          <w:tcPr>
            <w:tcW w:w="3240" w:type="dxa"/>
            <w:noWrap w:val="0"/>
            <w:vAlign w:val="center"/>
          </w:tcPr>
          <w:p>
            <w:pPr>
              <w:spacing w:line="0" w:lineRule="atLeast"/>
              <w:rPr>
                <w:rFonts w:hint="default" w:ascii="华文中宋" w:hAnsi="华文中宋" w:eastAsia="华文中宋"/>
                <w:sz w:val="18"/>
                <w:szCs w:val="18"/>
                <w:lang w:val="en-US" w:eastAsia="zh-CN"/>
              </w:rPr>
            </w:pPr>
            <w:r>
              <w:rPr>
                <w:rFonts w:hint="eastAsia" w:ascii="华文中宋" w:hAnsi="华文中宋" w:eastAsia="华文中宋"/>
                <w:sz w:val="18"/>
                <w:szCs w:val="18"/>
              </w:rPr>
              <w:t>剧目多（尤其新创剧目多），制作较</w:t>
            </w:r>
            <w:r>
              <w:rPr>
                <w:rFonts w:hint="eastAsia" w:ascii="华文中宋" w:hAnsi="华文中宋" w:eastAsia="华文中宋"/>
                <w:sz w:val="18"/>
                <w:szCs w:val="18"/>
                <w:lang w:val="en-US" w:eastAsia="zh-CN"/>
              </w:rPr>
              <w:t>通俗化</w:t>
            </w:r>
            <w:r>
              <w:rPr>
                <w:rFonts w:hint="eastAsia" w:ascii="华文中宋" w:hAnsi="华文中宋" w:eastAsia="华文中宋"/>
                <w:sz w:val="18"/>
                <w:szCs w:val="18"/>
              </w:rPr>
              <w:t>，艺术</w:t>
            </w:r>
            <w:r>
              <w:rPr>
                <w:rFonts w:hint="eastAsia" w:ascii="华文中宋" w:hAnsi="华文中宋" w:eastAsia="华文中宋"/>
                <w:sz w:val="18"/>
                <w:szCs w:val="18"/>
                <w:lang w:val="en-US" w:eastAsia="zh-CN"/>
              </w:rPr>
              <w:t>内涵</w:t>
            </w:r>
            <w:r>
              <w:rPr>
                <w:rFonts w:hint="eastAsia" w:ascii="华文中宋" w:hAnsi="华文中宋" w:eastAsia="华文中宋"/>
                <w:sz w:val="18"/>
                <w:szCs w:val="18"/>
              </w:rPr>
              <w:t>不是很高，但演出</w:t>
            </w:r>
            <w:r>
              <w:rPr>
                <w:rFonts w:hint="eastAsia" w:ascii="华文中宋" w:hAnsi="华文中宋" w:eastAsia="华文中宋"/>
                <w:sz w:val="18"/>
                <w:szCs w:val="18"/>
                <w:lang w:val="en-US" w:eastAsia="zh-CN"/>
              </w:rPr>
              <w:t>场次</w:t>
            </w:r>
            <w:r>
              <w:rPr>
                <w:rFonts w:hint="eastAsia" w:ascii="华文中宋" w:hAnsi="华文中宋" w:eastAsia="华文中宋"/>
                <w:sz w:val="18"/>
                <w:szCs w:val="18"/>
              </w:rPr>
              <w:t>多</w:t>
            </w:r>
            <w:r>
              <w:rPr>
                <w:rFonts w:hint="eastAsia" w:ascii="华文中宋" w:hAnsi="华文中宋" w:eastAsia="华文中宋"/>
                <w:sz w:val="18"/>
                <w:szCs w:val="18"/>
                <w:lang w:eastAsia="zh-CN"/>
              </w:rPr>
              <w:t>、</w:t>
            </w:r>
            <w:r>
              <w:rPr>
                <w:rFonts w:hint="eastAsia" w:ascii="华文中宋" w:hAnsi="华文中宋" w:eastAsia="华文中宋"/>
                <w:sz w:val="18"/>
                <w:szCs w:val="18"/>
                <w:lang w:val="en-US" w:eastAsia="zh-CN"/>
              </w:rPr>
              <w:t>频次高</w:t>
            </w:r>
          </w:p>
        </w:tc>
        <w:tc>
          <w:tcPr>
            <w:tcW w:w="198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原创活跃，市场化运作能力强</w:t>
            </w:r>
          </w:p>
        </w:tc>
      </w:tr>
    </w:tbl>
    <w:p>
      <w:pPr>
        <w:ind w:firstLine="643" w:firstLineChars="200"/>
        <w:jc w:val="both"/>
        <w:rPr>
          <w:rFonts w:hint="eastAsia" w:ascii="仿宋_GB2312" w:hAnsi="仿宋_GB2312" w:eastAsia="仿宋_GB2312" w:cs="仿宋_GB2312"/>
          <w:b/>
          <w:bCs/>
          <w:sz w:val="32"/>
          <w:szCs w:val="32"/>
          <w:highlight w:val="none"/>
          <w:lang w:val="en-US" w:eastAsia="zh-CN"/>
        </w:rPr>
      </w:pPr>
      <w:bookmarkStart w:id="9" w:name="_Toc245558594"/>
      <w:r>
        <w:rPr>
          <w:rFonts w:hint="eastAsia" w:ascii="仿宋_GB2312" w:hAnsi="仿宋_GB2312" w:eastAsia="仿宋_GB2312" w:cs="仿宋_GB2312"/>
          <w:b/>
          <w:bCs/>
          <w:sz w:val="32"/>
          <w:szCs w:val="32"/>
          <w:highlight w:val="none"/>
          <w:lang w:val="en-US" w:eastAsia="zh-CN"/>
        </w:rPr>
        <w:t>2．</w:t>
      </w:r>
      <w:bookmarkEnd w:id="8"/>
      <w:r>
        <w:rPr>
          <w:rFonts w:hint="eastAsia" w:ascii="仿宋_GB2312" w:hAnsi="仿宋_GB2312" w:eastAsia="仿宋_GB2312" w:cs="仿宋_GB2312"/>
          <w:b/>
          <w:bCs/>
          <w:sz w:val="32"/>
          <w:szCs w:val="32"/>
          <w:highlight w:val="none"/>
          <w:lang w:val="en-US" w:eastAsia="zh-CN"/>
        </w:rPr>
        <w:t>演出情况：缺乏产业化的演出模式</w:t>
      </w:r>
      <w:bookmarkEnd w:id="9"/>
    </w:p>
    <w:p>
      <w:pPr>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这里所称演出模式，是指演出的方式和途径。演出模式本身没有优劣之分，但却在很大程度上反映了剧团的运营方式，并对票房的收入产生影响。</w:t>
      </w:r>
    </w:p>
    <w:p>
      <w:pPr>
        <w:ind w:firstLine="640" w:firstLineChars="200"/>
        <w:jc w:val="both"/>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西方成功的剧团已经形成了比较固定的演出模式，例如太阳马戏团采用驻场表演和国际巡演的方式，该团在拉斯维加斯等地进行驻场表演，同时在全球50多个国家的300余个城市进行巡演；日本的四季剧团也是采取同样的演出模式，每年演出场次达2500场以上。正是这种一次投入、多次产出的产业化的演出模式，降低了演出的成本，提高了票房收入。但在新冠疫情爆发后，此类大规模、大体量的国际演出团体也面临巨大的运营危机。</w:t>
      </w:r>
    </w:p>
    <w:p>
      <w:pPr>
        <w:ind w:firstLine="640" w:firstLineChars="200"/>
        <w:jc w:val="both"/>
        <w:rPr>
          <w:rStyle w:val="19"/>
          <w:rFonts w:hint="eastAsia" w:ascii="华文中宋" w:hAnsi="华文中宋" w:eastAsia="华文中宋"/>
        </w:rPr>
      </w:pPr>
      <w:r>
        <w:rPr>
          <w:rFonts w:hint="eastAsia" w:ascii="仿宋_GB2312" w:hAnsi="仿宋_GB2312" w:eastAsia="仿宋_GB2312" w:cs="仿宋_GB2312"/>
          <w:b w:val="0"/>
          <w:bCs w:val="0"/>
          <w:sz w:val="32"/>
          <w:szCs w:val="32"/>
          <w:highlight w:val="none"/>
          <w:lang w:val="en-US" w:eastAsia="zh-CN"/>
        </w:rPr>
        <w:t>再看四川的艺术表演团体，</w:t>
      </w:r>
      <w:r>
        <w:rPr>
          <w:rFonts w:hint="eastAsia" w:ascii="仿宋_GB2312" w:hAnsi="仿宋_GB2312" w:eastAsia="仿宋_GB2312" w:cs="仿宋_GB2312"/>
          <w:b w:val="0"/>
          <w:bCs w:val="0"/>
          <w:sz w:val="32"/>
          <w:szCs w:val="32"/>
          <w:highlight w:val="none"/>
          <w:lang w:val="en-US" w:eastAsia="zh-Hans"/>
        </w:rPr>
        <w:t>全省</w:t>
      </w:r>
      <w:r>
        <w:rPr>
          <w:rFonts w:hint="default" w:ascii="仿宋_GB2312" w:hAnsi="仿宋_GB2312" w:eastAsia="仿宋_GB2312" w:cs="仿宋_GB2312"/>
          <w:b w:val="0"/>
          <w:bCs w:val="0"/>
          <w:sz w:val="32"/>
          <w:szCs w:val="32"/>
          <w:highlight w:val="none"/>
          <w:lang w:val="en-US" w:eastAsia="zh-Hans"/>
        </w:rPr>
        <w:t>95%</w:t>
      </w:r>
      <w:r>
        <w:rPr>
          <w:rFonts w:hint="eastAsia" w:ascii="仿宋_GB2312" w:hAnsi="仿宋_GB2312" w:eastAsia="仿宋_GB2312" w:cs="仿宋_GB2312"/>
          <w:b w:val="0"/>
          <w:bCs w:val="0"/>
          <w:sz w:val="32"/>
          <w:szCs w:val="32"/>
          <w:highlight w:val="none"/>
          <w:lang w:val="en-US" w:eastAsia="zh-Hans"/>
        </w:rPr>
        <w:t>以上的团体参与了规模不等的营业性演出。仅有</w:t>
      </w:r>
      <w:r>
        <w:rPr>
          <w:rFonts w:hint="default" w:ascii="仿宋_GB2312" w:hAnsi="仿宋_GB2312" w:eastAsia="仿宋_GB2312" w:cs="仿宋_GB2312"/>
          <w:b w:val="0"/>
          <w:bCs w:val="0"/>
          <w:sz w:val="32"/>
          <w:szCs w:val="32"/>
          <w:highlight w:val="none"/>
          <w:lang w:val="en-US" w:eastAsia="zh-Hans"/>
        </w:rPr>
        <w:t>5%</w:t>
      </w:r>
      <w:r>
        <w:rPr>
          <w:rFonts w:hint="eastAsia" w:ascii="仿宋_GB2312" w:hAnsi="仿宋_GB2312" w:eastAsia="仿宋_GB2312" w:cs="仿宋_GB2312"/>
          <w:b w:val="0"/>
          <w:bCs w:val="0"/>
          <w:sz w:val="32"/>
          <w:szCs w:val="32"/>
          <w:highlight w:val="none"/>
          <w:lang w:val="en-US" w:eastAsia="zh-Hans"/>
        </w:rPr>
        <w:t>的表演团体在</w:t>
      </w:r>
      <w:r>
        <w:rPr>
          <w:rFonts w:hint="default" w:ascii="仿宋_GB2312" w:hAnsi="仿宋_GB2312" w:eastAsia="仿宋_GB2312" w:cs="仿宋_GB2312"/>
          <w:b w:val="0"/>
          <w:bCs w:val="0"/>
          <w:sz w:val="32"/>
          <w:szCs w:val="32"/>
          <w:highlight w:val="none"/>
          <w:lang w:val="en-US" w:eastAsia="zh-Hans"/>
        </w:rPr>
        <w:t>2021</w:t>
      </w:r>
      <w:r>
        <w:rPr>
          <w:rFonts w:hint="eastAsia" w:ascii="仿宋_GB2312" w:hAnsi="仿宋_GB2312" w:eastAsia="仿宋_GB2312" w:cs="仿宋_GB2312"/>
          <w:b w:val="0"/>
          <w:bCs w:val="0"/>
          <w:sz w:val="32"/>
          <w:szCs w:val="32"/>
          <w:highlight w:val="none"/>
          <w:lang w:val="en-US" w:eastAsia="zh-Hans"/>
        </w:rPr>
        <w:t>年单纯通过承接政府走基层惠民演出与企事业单位主办的庆典活动、展会活动等获得经济收入。</w:t>
      </w:r>
      <w:r>
        <w:rPr>
          <w:rFonts w:hint="eastAsia" w:ascii="仿宋_GB2312" w:hAnsi="仿宋_GB2312" w:eastAsia="仿宋_GB2312" w:cs="仿宋_GB2312"/>
          <w:b w:val="0"/>
          <w:bCs w:val="0"/>
          <w:sz w:val="32"/>
          <w:szCs w:val="32"/>
          <w:highlight w:val="none"/>
          <w:lang w:val="en-US" w:eastAsia="zh-CN"/>
        </w:rPr>
        <w:t>但总体来看，表演模式比较散乱，项目演出、驻场演出、巡演等方式都有，但是很难找到哪一种模式已经形成了产业化的规模；就驻场演出和巡演而言，在规模和持续度上均无法跟国外的剧团相比。当然，这种状况受场地、资金等诸多因素的制约，演出不可能无限制地复制，演出模式也不是一个独立存在的问题，但是从中我们可以看出，四川的表演团体在剧目的持续演出和品牌宣传、后续推广，以及产业化运作方面仍有待提高。</w:t>
      </w:r>
    </w:p>
    <w:p>
      <w:pPr>
        <w:pStyle w:val="18"/>
        <w:spacing w:after="156" w:afterLines="50"/>
        <w:ind w:left="419" w:hanging="62"/>
        <w:jc w:val="center"/>
        <w:rPr>
          <w:rStyle w:val="19"/>
          <w:rFonts w:hint="eastAsia" w:ascii="华文中宋" w:hAnsi="华文中宋" w:eastAsia="华文中宋"/>
        </w:rPr>
      </w:pPr>
    </w:p>
    <w:p>
      <w:pPr>
        <w:pStyle w:val="18"/>
        <w:spacing w:after="156" w:afterLines="50"/>
        <w:ind w:left="419" w:hanging="62"/>
        <w:jc w:val="center"/>
        <w:rPr>
          <w:rStyle w:val="19"/>
          <w:rFonts w:hint="eastAsia" w:ascii="华文中宋" w:hAnsi="华文中宋" w:eastAsia="华文中宋"/>
        </w:rPr>
      </w:pPr>
    </w:p>
    <w:p>
      <w:pPr>
        <w:pStyle w:val="18"/>
        <w:spacing w:after="156" w:afterLines="50"/>
        <w:ind w:left="419" w:hanging="62"/>
        <w:jc w:val="center"/>
        <w:rPr>
          <w:rStyle w:val="19"/>
          <w:rFonts w:hint="eastAsia" w:ascii="华文中宋" w:hAnsi="华文中宋" w:eastAsia="华文中宋"/>
        </w:rPr>
      </w:pPr>
      <w:r>
        <w:rPr>
          <w:rStyle w:val="19"/>
          <w:rFonts w:hint="eastAsia" w:ascii="华文中宋" w:hAnsi="华文中宋" w:eastAsia="华文中宋"/>
        </w:rPr>
        <w:t>图表</w:t>
      </w:r>
      <w:r>
        <w:rPr>
          <w:rStyle w:val="19"/>
          <w:rFonts w:hint="eastAsia" w:ascii="华文中宋" w:hAnsi="华文中宋" w:eastAsia="华文中宋"/>
          <w:lang w:val="en-US" w:eastAsia="zh-CN"/>
        </w:rPr>
        <w:t>5</w:t>
      </w:r>
      <w:r>
        <w:rPr>
          <w:rStyle w:val="19"/>
          <w:rFonts w:hint="eastAsia" w:ascii="华文中宋" w:hAnsi="华文中宋" w:eastAsia="华文中宋"/>
        </w:rPr>
        <w:t>-</w:t>
      </w:r>
      <w:r>
        <w:rPr>
          <w:rStyle w:val="19"/>
          <w:rFonts w:hint="eastAsia" w:ascii="华文中宋" w:hAnsi="华文中宋" w:eastAsia="华文中宋"/>
          <w:lang w:val="en-US" w:eastAsia="zh-CN"/>
        </w:rPr>
        <w:t>6</w:t>
      </w:r>
      <w:r>
        <w:rPr>
          <w:rStyle w:val="19"/>
          <w:rFonts w:hint="eastAsia" w:ascii="华文中宋" w:hAnsi="华文中宋" w:eastAsia="华文中宋"/>
        </w:rPr>
        <w:t xml:space="preserve"> </w:t>
      </w:r>
      <w:r>
        <w:rPr>
          <w:rStyle w:val="19"/>
          <w:rFonts w:hint="eastAsia" w:ascii="华文中宋" w:hAnsi="华文中宋" w:eastAsia="华文中宋"/>
          <w:lang w:val="en-US" w:eastAsia="zh-CN"/>
        </w:rPr>
        <w:t>四川省</w:t>
      </w:r>
      <w:r>
        <w:rPr>
          <w:rStyle w:val="19"/>
          <w:rFonts w:hint="eastAsia" w:ascii="华文中宋" w:hAnsi="华文中宋" w:eastAsia="华文中宋"/>
        </w:rPr>
        <w:t>表演团体与国外表演团体的演出模式比较</w:t>
      </w:r>
    </w:p>
    <w:tbl>
      <w:tblPr>
        <w:tblStyle w:val="13"/>
        <w:tblW w:w="827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800"/>
        <w:gridCol w:w="2969"/>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620"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剧团</w:t>
            </w:r>
          </w:p>
        </w:tc>
        <w:tc>
          <w:tcPr>
            <w:tcW w:w="1800"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演出模式</w:t>
            </w:r>
          </w:p>
        </w:tc>
        <w:tc>
          <w:tcPr>
            <w:tcW w:w="2969"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演出规模</w:t>
            </w:r>
          </w:p>
        </w:tc>
        <w:tc>
          <w:tcPr>
            <w:tcW w:w="1884"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演员配置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62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美国太阳马戏团</w:t>
            </w:r>
          </w:p>
        </w:tc>
        <w:tc>
          <w:tcPr>
            <w:tcW w:w="1800" w:type="dxa"/>
            <w:noWrap w:val="0"/>
            <w:vAlign w:val="center"/>
          </w:tcPr>
          <w:p>
            <w:pPr>
              <w:spacing w:line="0" w:lineRule="atLeast"/>
              <w:rPr>
                <w:rFonts w:hint="eastAsia" w:ascii="华文中宋" w:hAnsi="华文中宋" w:eastAsia="华文中宋" w:cs="宋体"/>
                <w:kern w:val="0"/>
                <w:sz w:val="20"/>
                <w:szCs w:val="20"/>
              </w:rPr>
            </w:pPr>
            <w:r>
              <w:rPr>
                <w:rFonts w:hint="eastAsia" w:ascii="华文中宋" w:hAnsi="华文中宋" w:eastAsia="华文中宋" w:cs="宋体"/>
                <w:kern w:val="0"/>
                <w:sz w:val="20"/>
                <w:szCs w:val="20"/>
              </w:rPr>
              <w:t>驻场表演+国际巡演</w:t>
            </w:r>
          </w:p>
        </w:tc>
        <w:tc>
          <w:tcPr>
            <w:tcW w:w="2969" w:type="dxa"/>
            <w:noWrap w:val="0"/>
            <w:vAlign w:val="center"/>
          </w:tcPr>
          <w:p>
            <w:pPr>
              <w:spacing w:line="0" w:lineRule="atLeast"/>
              <w:rPr>
                <w:rFonts w:hint="eastAsia" w:ascii="华文中宋" w:hAnsi="华文中宋" w:eastAsia="华文中宋" w:cs="宋体"/>
                <w:kern w:val="0"/>
                <w:sz w:val="20"/>
                <w:szCs w:val="20"/>
              </w:rPr>
            </w:pPr>
            <w:r>
              <w:rPr>
                <w:rFonts w:hint="eastAsia" w:ascii="华文中宋" w:hAnsi="华文中宋" w:eastAsia="华文中宋" w:cs="宋体"/>
                <w:kern w:val="0"/>
                <w:sz w:val="20"/>
                <w:szCs w:val="20"/>
              </w:rPr>
              <w:t>在拉斯维加斯、奥兰多、东京和澳门进行驻场表演，同时，在全球23个国家的196个城市进行巡演；每个演员每周最低演出5至6场</w:t>
            </w:r>
          </w:p>
        </w:tc>
        <w:tc>
          <w:tcPr>
            <w:tcW w:w="1884" w:type="dxa"/>
            <w:noWrap w:val="0"/>
            <w:vAlign w:val="center"/>
          </w:tcPr>
          <w:p>
            <w:pPr>
              <w:spacing w:line="0" w:lineRule="atLeast"/>
              <w:rPr>
                <w:rFonts w:hint="eastAsia" w:ascii="华文中宋" w:hAnsi="华文中宋" w:eastAsia="华文中宋" w:cs="宋体"/>
                <w:kern w:val="0"/>
                <w:sz w:val="20"/>
                <w:szCs w:val="20"/>
              </w:rPr>
            </w:pPr>
            <w:r>
              <w:rPr>
                <w:rFonts w:hint="eastAsia" w:ascii="华文中宋" w:hAnsi="华文中宋" w:eastAsia="华文中宋" w:cs="宋体"/>
                <w:kern w:val="0"/>
                <w:sz w:val="20"/>
                <w:szCs w:val="20"/>
              </w:rPr>
              <w:t>来自世界各国，5000多名艺人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62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日本四季剧团</w:t>
            </w:r>
          </w:p>
        </w:tc>
        <w:tc>
          <w:tcPr>
            <w:tcW w:w="1800" w:type="dxa"/>
            <w:noWrap w:val="0"/>
            <w:vAlign w:val="center"/>
          </w:tcPr>
          <w:p>
            <w:pPr>
              <w:spacing w:line="0" w:lineRule="atLeast"/>
              <w:rPr>
                <w:rFonts w:hint="eastAsia" w:ascii="华文中宋" w:hAnsi="华文中宋" w:eastAsia="华文中宋" w:cs="宋体"/>
                <w:kern w:val="0"/>
                <w:sz w:val="20"/>
                <w:szCs w:val="20"/>
              </w:rPr>
            </w:pPr>
            <w:r>
              <w:rPr>
                <w:rFonts w:hint="eastAsia" w:ascii="华文中宋" w:hAnsi="华文中宋" w:eastAsia="华文中宋" w:cs="宋体"/>
                <w:kern w:val="0"/>
                <w:sz w:val="20"/>
                <w:szCs w:val="20"/>
              </w:rPr>
              <w:t>驻场表演+国际巡演</w:t>
            </w:r>
          </w:p>
        </w:tc>
        <w:tc>
          <w:tcPr>
            <w:tcW w:w="2969" w:type="dxa"/>
            <w:noWrap w:val="0"/>
            <w:vAlign w:val="center"/>
          </w:tcPr>
          <w:p>
            <w:pPr>
              <w:spacing w:line="0" w:lineRule="atLeast"/>
              <w:rPr>
                <w:rFonts w:hint="eastAsia" w:ascii="华文中宋" w:hAnsi="华文中宋" w:eastAsia="华文中宋" w:cs="宋体"/>
                <w:kern w:val="0"/>
                <w:sz w:val="20"/>
                <w:szCs w:val="20"/>
              </w:rPr>
            </w:pPr>
            <w:r>
              <w:rPr>
                <w:rFonts w:hint="eastAsia" w:ascii="华文中宋" w:hAnsi="华文中宋" w:eastAsia="华文中宋" w:cs="宋体"/>
                <w:kern w:val="0"/>
                <w:sz w:val="20"/>
                <w:szCs w:val="20"/>
              </w:rPr>
              <w:t>每年达到2500场以上，每天约有8至10个剧组在固定的剧场或在各地巡回演出。在18年里演出了5000场《猫》，在4年多时间里演出了3000场《狮子王》</w:t>
            </w:r>
          </w:p>
        </w:tc>
        <w:tc>
          <w:tcPr>
            <w:tcW w:w="1884" w:type="dxa"/>
            <w:noWrap w:val="0"/>
            <w:vAlign w:val="center"/>
          </w:tcPr>
          <w:p>
            <w:pPr>
              <w:spacing w:line="0" w:lineRule="atLeast"/>
              <w:rPr>
                <w:rFonts w:hint="eastAsia" w:ascii="华文中宋" w:hAnsi="华文中宋" w:eastAsia="华文中宋" w:cs="宋体"/>
                <w:kern w:val="0"/>
                <w:sz w:val="20"/>
                <w:szCs w:val="20"/>
              </w:rPr>
            </w:pPr>
            <w:r>
              <w:rPr>
                <w:rFonts w:hint="eastAsia" w:ascii="华文中宋" w:hAnsi="华文中宋" w:eastAsia="华文中宋" w:cs="宋体"/>
                <w:kern w:val="0"/>
                <w:sz w:val="20"/>
                <w:szCs w:val="20"/>
              </w:rPr>
              <w:t>来自世界各国，共有430名演员。把全体演员按最佳配置分为8-9组，在全国7个专用剧场及其他租赁剧场同时演出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620" w:type="dxa"/>
            <w:noWrap w:val="0"/>
            <w:vAlign w:val="center"/>
          </w:tcPr>
          <w:p>
            <w:pPr>
              <w:spacing w:line="0" w:lineRule="atLeast"/>
              <w:rPr>
                <w:rFonts w:hint="default" w:ascii="华文中宋" w:hAnsi="华文中宋" w:eastAsia="华文中宋"/>
                <w:sz w:val="18"/>
                <w:szCs w:val="18"/>
                <w:lang w:val="en-US" w:eastAsia="zh-CN"/>
              </w:rPr>
            </w:pPr>
            <w:r>
              <w:rPr>
                <w:rFonts w:hint="eastAsia" w:ascii="华文中宋" w:hAnsi="华文中宋" w:eastAsia="华文中宋"/>
                <w:sz w:val="18"/>
                <w:szCs w:val="18"/>
                <w:lang w:val="en-US" w:eastAsia="zh-CN"/>
              </w:rPr>
              <w:t>成都艺术剧院</w:t>
            </w:r>
          </w:p>
        </w:tc>
        <w:tc>
          <w:tcPr>
            <w:tcW w:w="180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驻场演出（主要是</w:t>
            </w:r>
            <w:r>
              <w:rPr>
                <w:rFonts w:hint="eastAsia" w:ascii="华文中宋" w:hAnsi="华文中宋" w:eastAsia="华文中宋"/>
                <w:sz w:val="18"/>
                <w:szCs w:val="18"/>
                <w:lang w:val="en-US" w:eastAsia="zh-CN"/>
              </w:rPr>
              <w:t>川</w:t>
            </w:r>
            <w:r>
              <w:rPr>
                <w:rFonts w:hint="eastAsia" w:ascii="华文中宋" w:hAnsi="华文中宋" w:eastAsia="华文中宋"/>
                <w:sz w:val="18"/>
                <w:szCs w:val="18"/>
              </w:rPr>
              <w:t>内），国内巡演</w:t>
            </w:r>
          </w:p>
        </w:tc>
        <w:tc>
          <w:tcPr>
            <w:tcW w:w="2969" w:type="dxa"/>
            <w:noWrap w:val="0"/>
            <w:vAlign w:val="center"/>
          </w:tcPr>
          <w:p>
            <w:pPr>
              <w:spacing w:line="0" w:lineRule="atLeast"/>
              <w:rPr>
                <w:rFonts w:hint="eastAsia" w:ascii="华文中宋" w:hAnsi="华文中宋" w:eastAsia="华文中宋"/>
                <w:sz w:val="18"/>
                <w:szCs w:val="18"/>
                <w:lang w:eastAsia="zh-CN"/>
              </w:rPr>
            </w:pPr>
            <w:r>
              <w:rPr>
                <w:rFonts w:hint="eastAsia" w:ascii="华文中宋" w:hAnsi="华文中宋" w:eastAsia="华文中宋" w:cs="宋体"/>
                <w:kern w:val="0"/>
                <w:sz w:val="20"/>
                <w:szCs w:val="20"/>
                <w:lang w:val="en-US" w:eastAsia="zh-CN"/>
              </w:rPr>
              <w:t>代表剧目《努力餐》</w:t>
            </w:r>
            <w:r>
              <w:rPr>
                <w:rFonts w:hint="eastAsia" w:ascii="华文中宋" w:hAnsi="华文中宋" w:eastAsia="华文中宋" w:cs="宋体"/>
                <w:kern w:val="0"/>
                <w:sz w:val="20"/>
                <w:szCs w:val="20"/>
              </w:rPr>
              <w:t>据称</w:t>
            </w:r>
            <w:r>
              <w:rPr>
                <w:rFonts w:hint="eastAsia" w:ascii="华文中宋" w:hAnsi="华文中宋" w:eastAsia="华文中宋" w:cs="宋体"/>
                <w:kern w:val="0"/>
                <w:sz w:val="20"/>
                <w:szCs w:val="20"/>
                <w:lang w:val="en-US" w:eastAsia="zh-CN"/>
              </w:rPr>
              <w:t>年度</w:t>
            </w:r>
            <w:r>
              <w:rPr>
                <w:rFonts w:hint="eastAsia" w:ascii="华文中宋" w:hAnsi="华文中宋" w:eastAsia="华文中宋" w:cs="宋体"/>
                <w:kern w:val="0"/>
                <w:sz w:val="20"/>
                <w:szCs w:val="20"/>
              </w:rPr>
              <w:t>演出</w:t>
            </w:r>
            <w:r>
              <w:rPr>
                <w:rFonts w:hint="eastAsia" w:ascii="华文中宋" w:hAnsi="华文中宋" w:eastAsia="华文中宋" w:cs="宋体"/>
                <w:kern w:val="0"/>
                <w:sz w:val="20"/>
                <w:szCs w:val="20"/>
                <w:lang w:val="en-US" w:eastAsia="zh-CN"/>
              </w:rPr>
              <w:t>50</w:t>
            </w:r>
            <w:r>
              <w:rPr>
                <w:rFonts w:hint="eastAsia" w:ascii="华文中宋" w:hAnsi="华文中宋" w:eastAsia="华文中宋" w:cs="宋体"/>
                <w:kern w:val="0"/>
                <w:sz w:val="20"/>
                <w:szCs w:val="20"/>
              </w:rPr>
              <w:t>场</w:t>
            </w:r>
            <w:r>
              <w:rPr>
                <w:rFonts w:hint="eastAsia" w:ascii="华文中宋" w:hAnsi="华文中宋" w:eastAsia="华文中宋" w:cs="宋体"/>
                <w:kern w:val="0"/>
                <w:sz w:val="20"/>
                <w:szCs w:val="20"/>
                <w:lang w:eastAsia="zh-CN"/>
              </w:rPr>
              <w:t>（</w:t>
            </w:r>
            <w:r>
              <w:rPr>
                <w:rFonts w:hint="eastAsia" w:ascii="华文中宋" w:hAnsi="华文中宋" w:eastAsia="华文中宋" w:cs="宋体"/>
                <w:kern w:val="0"/>
                <w:sz w:val="20"/>
                <w:szCs w:val="20"/>
                <w:lang w:val="en-US" w:eastAsia="zh-CN"/>
              </w:rPr>
              <w:t>驻场+巡演</w:t>
            </w:r>
            <w:r>
              <w:rPr>
                <w:rFonts w:hint="eastAsia" w:ascii="华文中宋" w:hAnsi="华文中宋" w:eastAsia="华文中宋" w:cs="宋体"/>
                <w:kern w:val="0"/>
                <w:sz w:val="20"/>
                <w:szCs w:val="20"/>
                <w:lang w:eastAsia="zh-CN"/>
              </w:rPr>
              <w:t>）</w:t>
            </w:r>
          </w:p>
        </w:tc>
        <w:tc>
          <w:tcPr>
            <w:tcW w:w="1884" w:type="dxa"/>
            <w:noWrap w:val="0"/>
            <w:vAlign w:val="center"/>
          </w:tcPr>
          <w:p>
            <w:pPr>
              <w:spacing w:line="0" w:lineRule="atLeast"/>
              <w:rPr>
                <w:rFonts w:hint="eastAsia" w:ascii="华文中宋" w:hAnsi="华文中宋" w:eastAsia="华文中宋" w:cs="宋体"/>
                <w:kern w:val="0"/>
                <w:sz w:val="20"/>
                <w:szCs w:val="20"/>
              </w:rPr>
            </w:pPr>
            <w:r>
              <w:rPr>
                <w:rFonts w:hint="eastAsia" w:ascii="华文中宋" w:hAnsi="华文中宋" w:eastAsia="华文中宋" w:cs="宋体"/>
                <w:kern w:val="0"/>
                <w:sz w:val="20"/>
                <w:szCs w:val="20"/>
              </w:rPr>
              <w:t>——</w:t>
            </w:r>
          </w:p>
        </w:tc>
      </w:tr>
    </w:tbl>
    <w:p>
      <w:pPr>
        <w:spacing w:after="156" w:afterLines="50"/>
        <w:ind w:firstLine="367" w:firstLineChars="175"/>
        <w:rPr>
          <w:rFonts w:hint="eastAsia" w:ascii="华文中宋" w:hAnsi="华文中宋" w:eastAsia="华文中宋"/>
        </w:rPr>
      </w:pPr>
    </w:p>
    <w:p>
      <w:pPr>
        <w:ind w:firstLine="643" w:firstLineChars="200"/>
        <w:jc w:val="both"/>
        <w:rPr>
          <w:rFonts w:hint="eastAsia" w:ascii="仿宋_GB2312" w:hAnsi="仿宋_GB2312" w:eastAsia="仿宋_GB2312" w:cs="仿宋_GB2312"/>
          <w:b/>
          <w:bCs/>
          <w:sz w:val="32"/>
          <w:szCs w:val="32"/>
          <w:highlight w:val="none"/>
          <w:lang w:val="en-US" w:eastAsia="zh-CN"/>
        </w:rPr>
      </w:pPr>
      <w:bookmarkStart w:id="10" w:name="_Toc245558595"/>
      <w:r>
        <w:rPr>
          <w:rFonts w:hint="eastAsia" w:ascii="仿宋_GB2312" w:hAnsi="仿宋_GB2312" w:eastAsia="仿宋_GB2312" w:cs="仿宋_GB2312"/>
          <w:b/>
          <w:bCs/>
          <w:sz w:val="32"/>
          <w:szCs w:val="32"/>
          <w:highlight w:val="none"/>
          <w:lang w:val="en-US" w:eastAsia="zh-CN"/>
        </w:rPr>
        <w:t>3．财务状况：大多数的表演团体无法依靠演出收入实现良性增长</w:t>
      </w:r>
      <w:bookmarkEnd w:id="10"/>
    </w:p>
    <w:p>
      <w:pPr>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从调研的情况来看，国有团体由于有政府的补贴、专项资金的支撑，财务状况总体好于民营团体。另一方面，文化体制改革使得国有团体的活力逐步得到释放，其演出经营收入出现了较快的增长，比如改制后的成都艺术剧院有限责任公司2021年商业演出收入3932.05万元，较2020年增长222.90%。四川交响乐团天姿国乐2021年商业演出收入19.4万元，较之前也有所增长。尽管如此，我们仍不得不面临这样一个现实，就是多数的表演艺术团体无法依靠演出收入来支撑自己经济运营的良性循环，国有团体在很大程度上还是要依赖政府的公共财政支持。而民营团体在后疫情时代的大背景下，仅有少部分制作实力强劲、资金基础雄厚的市场主体能够维持运营。</w:t>
      </w:r>
    </w:p>
    <w:p>
      <w:pPr>
        <w:pStyle w:val="2"/>
        <w:rPr>
          <w:rFonts w:hint="eastAsia"/>
          <w:lang w:val="en-US" w:eastAsia="zh-CN"/>
        </w:rPr>
      </w:pPr>
    </w:p>
    <w:p>
      <w:pPr>
        <w:jc w:val="center"/>
        <w:rPr>
          <w:rStyle w:val="19"/>
          <w:rFonts w:hint="eastAsia" w:ascii="华文中宋" w:hAnsi="华文中宋" w:eastAsia="华文中宋"/>
        </w:rPr>
      </w:pPr>
    </w:p>
    <w:p>
      <w:pPr>
        <w:jc w:val="center"/>
        <w:rPr>
          <w:rStyle w:val="19"/>
          <w:rFonts w:hint="eastAsia" w:ascii="华文中宋" w:hAnsi="华文中宋" w:eastAsia="华文中宋"/>
        </w:rPr>
      </w:pPr>
    </w:p>
    <w:p>
      <w:pPr>
        <w:pStyle w:val="2"/>
        <w:rPr>
          <w:rFonts w:hint="eastAsia"/>
          <w:lang w:val="en-US" w:eastAsia="zh-CN"/>
        </w:rPr>
      </w:pPr>
      <w:r>
        <w:rPr>
          <w:rFonts w:ascii="华文中宋" w:hAnsi="华文中宋" w:eastAsia="华文中宋"/>
        </w:rPr>
        <w:pict>
          <v:shape id="Object 92" o:spid="_x0000_s1036" o:spt="75" type="#_x0000_t75" style="position:absolute;left:0pt;margin-left:201.6pt;margin-top:11.2pt;height:164.7pt;width:252pt;z-index:251674624;mso-width-relative:page;mso-height-relative:page;" o:ole="t" filled="f" o:preferrelative="f" stroked="f" coordsize="21600,21600">
            <v:path/>
            <v:fill on="f" focussize="0,0"/>
            <v:stroke on="f"/>
            <v:imagedata r:id="rId29" o:title=""/>
            <o:lock v:ext="edit" aspectratio="f"/>
          </v:shape>
          <o:OLEObject Type="Embed" ProgID="" ShapeID="Object 92" DrawAspect="Content" ObjectID="_1468075725" r:id="rId28">
            <o:LockedField>false</o:LockedField>
          </o:OLEObject>
        </w:pict>
      </w:r>
    </w:p>
    <w:p>
      <w:pPr>
        <w:pStyle w:val="2"/>
        <w:rPr>
          <w:rFonts w:hint="eastAsia"/>
          <w:lang w:val="en-US" w:eastAsia="zh-CN"/>
        </w:rPr>
      </w:pPr>
      <w:r>
        <w:drawing>
          <wp:anchor distT="0" distB="0" distL="114300" distR="114300" simplePos="0" relativeHeight="251675648" behindDoc="0" locked="0" layoutInCell="1" allowOverlap="1">
            <wp:simplePos x="0" y="0"/>
            <wp:positionH relativeFrom="column">
              <wp:posOffset>-146685</wp:posOffset>
            </wp:positionH>
            <wp:positionV relativeFrom="paragraph">
              <wp:posOffset>6985</wp:posOffset>
            </wp:positionV>
            <wp:extent cx="2810510" cy="1838960"/>
            <wp:effectExtent l="4445" t="4445" r="23495" b="23495"/>
            <wp:wrapSquare wrapText="bothSides"/>
            <wp:docPr id="30" name="图表 5" descr="7b0a202020202263686172745265734964223a2022343532363834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pPr>
        <w:rPr>
          <w:rFonts w:hint="default"/>
          <w:lang w:val="en-US" w:eastAsia="zh-CN"/>
        </w:rPr>
      </w:pPr>
    </w:p>
    <w:p>
      <w:pPr>
        <w:pStyle w:val="9"/>
        <w:ind w:left="420" w:hanging="420"/>
        <w:jc w:val="center"/>
        <w:rPr>
          <w:rFonts w:hint="eastAsia" w:ascii="华文中宋" w:hAnsi="华文中宋" w:eastAsia="华文中宋"/>
          <w:b/>
        </w:rPr>
      </w:pPr>
    </w:p>
    <w:p>
      <w:pPr>
        <w:rPr>
          <w:rFonts w:hint="eastAsia" w:ascii="华文中宋" w:hAnsi="华文中宋" w:eastAsia="华文中宋"/>
        </w:rPr>
      </w:pPr>
    </w:p>
    <w:p>
      <w:pPr>
        <w:autoSpaceDE w:val="0"/>
        <w:autoSpaceDN w:val="0"/>
        <w:adjustRightInd w:val="0"/>
        <w:spacing w:before="156" w:beforeLines="50" w:after="156" w:afterLines="50"/>
        <w:jc w:val="right"/>
        <w:rPr>
          <w:rFonts w:hint="eastAsia" w:ascii="华文中宋" w:hAnsi="华文中宋" w:eastAsia="华文中宋"/>
          <w:sz w:val="18"/>
          <w:szCs w:val="18"/>
        </w:rPr>
      </w:pPr>
    </w:p>
    <w:p>
      <w:pPr>
        <w:pStyle w:val="18"/>
        <w:spacing w:after="156" w:afterLines="50"/>
        <w:ind w:left="0" w:leftChars="0" w:firstLine="0" w:firstLineChars="0"/>
        <w:jc w:val="both"/>
        <w:rPr>
          <w:rFonts w:hint="eastAsia" w:ascii="华文中宋" w:hAnsi="华文中宋" w:eastAsia="华文中宋"/>
          <w:sz w:val="22"/>
          <w:szCs w:val="22"/>
        </w:rPr>
      </w:pPr>
    </w:p>
    <w:p>
      <w:pPr>
        <w:ind w:firstLine="643" w:firstLineChars="200"/>
        <w:jc w:val="both"/>
        <w:rPr>
          <w:rFonts w:hint="eastAsia" w:ascii="仿宋_GB2312" w:hAnsi="仿宋_GB2312" w:eastAsia="仿宋_GB2312" w:cs="仿宋_GB2312"/>
          <w:b/>
          <w:bCs/>
          <w:sz w:val="32"/>
          <w:szCs w:val="32"/>
          <w:highlight w:val="none"/>
          <w:lang w:val="en-US" w:eastAsia="zh-CN"/>
        </w:rPr>
      </w:pPr>
      <w:bookmarkStart w:id="11" w:name="_Toc245558596"/>
    </w:p>
    <w:p>
      <w:pPr>
        <w:jc w:val="center"/>
        <w:rPr>
          <w:rStyle w:val="19"/>
          <w:rFonts w:hint="eastAsia" w:ascii="华文中宋" w:hAnsi="华文中宋" w:eastAsia="华文中宋"/>
        </w:rPr>
      </w:pPr>
      <w:r>
        <w:rPr>
          <w:rStyle w:val="19"/>
          <w:rFonts w:hint="eastAsia" w:ascii="华文中宋" w:hAnsi="华文中宋" w:eastAsia="华文中宋"/>
        </w:rPr>
        <w:t>图表</w:t>
      </w:r>
      <w:r>
        <w:rPr>
          <w:rStyle w:val="19"/>
          <w:rFonts w:hint="eastAsia" w:ascii="华文中宋" w:hAnsi="华文中宋" w:eastAsia="华文中宋"/>
          <w:lang w:val="en-US" w:eastAsia="zh-CN"/>
        </w:rPr>
        <w:t>5</w:t>
      </w:r>
      <w:r>
        <w:rPr>
          <w:rStyle w:val="19"/>
          <w:rFonts w:hint="eastAsia" w:ascii="华文中宋" w:hAnsi="华文中宋" w:eastAsia="华文中宋"/>
        </w:rPr>
        <w:t>-</w:t>
      </w:r>
      <w:r>
        <w:rPr>
          <w:rStyle w:val="19"/>
          <w:rFonts w:hint="eastAsia" w:ascii="华文中宋" w:hAnsi="华文中宋" w:eastAsia="华文中宋"/>
          <w:lang w:val="en-US" w:eastAsia="zh-CN"/>
        </w:rPr>
        <w:t xml:space="preserve">7 </w:t>
      </w:r>
      <w:r>
        <w:rPr>
          <w:rStyle w:val="19"/>
          <w:rFonts w:hint="eastAsia" w:ascii="华文中宋" w:hAnsi="华文中宋" w:eastAsia="华文中宋"/>
          <w:highlight w:val="none"/>
          <w:lang w:val="en-US" w:eastAsia="zh-CN"/>
        </w:rPr>
        <w:t>成都艺术</w:t>
      </w:r>
      <w:r>
        <w:rPr>
          <w:rStyle w:val="19"/>
          <w:rFonts w:hint="eastAsia" w:ascii="华文中宋" w:hAnsi="华文中宋" w:eastAsia="华文中宋"/>
          <w:highlight w:val="none"/>
        </w:rPr>
        <w:t>剧院</w:t>
      </w:r>
      <w:r>
        <w:rPr>
          <w:rStyle w:val="19"/>
          <w:rFonts w:hint="eastAsia" w:ascii="华文中宋" w:hAnsi="华文中宋" w:eastAsia="华文中宋"/>
        </w:rPr>
        <w:t>与芝加哥交响乐团收入构成对比</w:t>
      </w:r>
    </w:p>
    <w:p>
      <w:pPr>
        <w:pStyle w:val="2"/>
        <w:rPr>
          <w:rFonts w:hint="eastAsia"/>
          <w:lang w:val="en-US" w:eastAsia="zh-CN"/>
        </w:rPr>
      </w:pPr>
    </w:p>
    <w:p>
      <w:pPr>
        <w:ind w:firstLine="643" w:firstLineChars="200"/>
        <w:jc w:val="both"/>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4．与演出场所的合作：民营团体与场所的合作十分艰难</w:t>
      </w:r>
      <w:bookmarkEnd w:id="11"/>
    </w:p>
    <w:p>
      <w:pPr>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剧团与剧院相伴而生，讨论剧团现状必然离不开剧院这一话题。除极少数场团合一的情况外，四川省的表演团体与剧场大多是两类相互独立的机构，但事实上他们又是一种紧密合作的关系。从调查情况来看，二者的合作主要有票房分成和场租两种方式。</w:t>
      </w:r>
    </w:p>
    <w:p>
      <w:pPr>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在剧团与演出场所的合作上，场所占据主导地位，在场租、租用期限等方面，剧场掌握着话语权。不少民营表演团体表示，与演出场所的合作非常艰难。目前还缺乏能够有效协调二者关系的中介组织。在这方面，美国的做法或许值得我们借鉴。美国的剧场和制作人联盟在成立之初，是作为美国商业剧场业的一个行业协会而存在着，其成员包括百老汇剧院区的所有剧场业主和经营者、制作人、演出者、经理人以及巡回演出的剧团管理者。联盟代表其所有成员，同全部戏剧联合会和协会签署集体议价协议；协调全行业内的市场营销目标和所有商业性赞助；协调剧团和剧场的关系等。</w:t>
      </w:r>
    </w:p>
    <w:p>
      <w:pPr>
        <w:pStyle w:val="18"/>
        <w:spacing w:after="156" w:afterLines="50"/>
        <w:ind w:left="0" w:leftChars="0" w:firstLine="0" w:firstLineChars="0"/>
        <w:jc w:val="center"/>
        <w:rPr>
          <w:rStyle w:val="19"/>
          <w:rFonts w:hint="eastAsia" w:ascii="华文中宋" w:hAnsi="华文中宋" w:eastAsia="华文中宋"/>
        </w:rPr>
      </w:pPr>
      <w:r>
        <w:rPr>
          <w:rStyle w:val="19"/>
          <w:rFonts w:hint="eastAsia" w:ascii="华文中宋" w:hAnsi="华文中宋" w:eastAsia="华文中宋"/>
        </w:rPr>
        <w:t>图表</w:t>
      </w:r>
      <w:r>
        <w:rPr>
          <w:rStyle w:val="19"/>
          <w:rFonts w:hint="eastAsia" w:ascii="华文中宋" w:hAnsi="华文中宋" w:eastAsia="华文中宋"/>
          <w:lang w:val="en-US" w:eastAsia="zh-CN"/>
        </w:rPr>
        <w:t>5</w:t>
      </w:r>
      <w:r>
        <w:rPr>
          <w:rStyle w:val="19"/>
          <w:rFonts w:hint="eastAsia" w:ascii="华文中宋" w:hAnsi="华文中宋" w:eastAsia="华文中宋"/>
        </w:rPr>
        <w:t>-</w:t>
      </w:r>
      <w:r>
        <w:rPr>
          <w:rStyle w:val="19"/>
          <w:rFonts w:hint="eastAsia" w:ascii="华文中宋" w:hAnsi="华文中宋" w:eastAsia="华文中宋"/>
          <w:lang w:val="en-US" w:eastAsia="zh-CN"/>
        </w:rPr>
        <w:t xml:space="preserve">8 </w:t>
      </w:r>
      <w:r>
        <w:rPr>
          <w:rStyle w:val="19"/>
          <w:rFonts w:hint="eastAsia" w:ascii="华文中宋" w:hAnsi="华文中宋" w:eastAsia="华文中宋"/>
        </w:rPr>
        <w:t xml:space="preserve"> 表演团体与剧院的关系一览表</w:t>
      </w:r>
    </w:p>
    <w:tbl>
      <w:tblPr>
        <w:tblStyle w:val="13"/>
        <w:tblW w:w="84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2424"/>
        <w:gridCol w:w="2411"/>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120" w:type="dxa"/>
            <w:shd w:val="clear" w:color="auto" w:fill="C0C0C0"/>
            <w:noWrap w:val="0"/>
            <w:vAlign w:val="center"/>
          </w:tcPr>
          <w:p>
            <w:pPr>
              <w:spacing w:line="0" w:lineRule="atLeast"/>
              <w:jc w:val="center"/>
              <w:rPr>
                <w:rFonts w:hint="eastAsia" w:ascii="宋体" w:hAnsi="宋体" w:eastAsia="宋体" w:cs="宋体"/>
                <w:b/>
                <w:sz w:val="20"/>
                <w:szCs w:val="20"/>
              </w:rPr>
            </w:pPr>
            <w:r>
              <w:rPr>
                <w:rFonts w:hint="eastAsia" w:ascii="宋体" w:hAnsi="宋体" w:eastAsia="宋体" w:cs="宋体"/>
                <w:b/>
                <w:sz w:val="20"/>
                <w:szCs w:val="20"/>
              </w:rPr>
              <w:t>关系类型</w:t>
            </w:r>
          </w:p>
        </w:tc>
        <w:tc>
          <w:tcPr>
            <w:tcW w:w="2424" w:type="dxa"/>
            <w:shd w:val="clear" w:color="auto" w:fill="C0C0C0"/>
            <w:noWrap w:val="0"/>
            <w:vAlign w:val="center"/>
          </w:tcPr>
          <w:p>
            <w:pPr>
              <w:spacing w:line="0" w:lineRule="atLeast"/>
              <w:jc w:val="center"/>
              <w:rPr>
                <w:rFonts w:hint="eastAsia" w:ascii="宋体" w:hAnsi="宋体" w:eastAsia="宋体" w:cs="宋体"/>
                <w:b/>
                <w:sz w:val="20"/>
                <w:szCs w:val="20"/>
              </w:rPr>
            </w:pPr>
            <w:r>
              <w:rPr>
                <w:rFonts w:hint="eastAsia" w:ascii="宋体" w:hAnsi="宋体" w:eastAsia="宋体" w:cs="宋体"/>
                <w:b/>
                <w:sz w:val="20"/>
                <w:szCs w:val="20"/>
              </w:rPr>
              <w:t>说明</w:t>
            </w:r>
          </w:p>
        </w:tc>
        <w:tc>
          <w:tcPr>
            <w:tcW w:w="2411" w:type="dxa"/>
            <w:shd w:val="clear" w:color="auto" w:fill="C0C0C0"/>
            <w:noWrap w:val="0"/>
            <w:vAlign w:val="center"/>
          </w:tcPr>
          <w:p>
            <w:pPr>
              <w:spacing w:line="0" w:lineRule="atLeast"/>
              <w:jc w:val="center"/>
              <w:rPr>
                <w:rFonts w:hint="eastAsia" w:ascii="宋体" w:hAnsi="宋体" w:eastAsia="宋体" w:cs="宋体"/>
                <w:b/>
                <w:sz w:val="20"/>
                <w:szCs w:val="20"/>
              </w:rPr>
            </w:pPr>
            <w:r>
              <w:rPr>
                <w:rFonts w:hint="eastAsia" w:ascii="宋体" w:hAnsi="宋体" w:eastAsia="宋体" w:cs="宋体"/>
                <w:b/>
                <w:sz w:val="20"/>
                <w:szCs w:val="20"/>
              </w:rPr>
              <w:t>国外实例</w:t>
            </w:r>
          </w:p>
        </w:tc>
        <w:tc>
          <w:tcPr>
            <w:tcW w:w="2465" w:type="dxa"/>
            <w:shd w:val="clear" w:color="auto" w:fill="C0C0C0"/>
            <w:noWrap w:val="0"/>
            <w:vAlign w:val="center"/>
          </w:tcPr>
          <w:p>
            <w:pPr>
              <w:spacing w:line="0" w:lineRule="atLeast"/>
              <w:jc w:val="center"/>
              <w:rPr>
                <w:rFonts w:hint="eastAsia" w:ascii="宋体" w:hAnsi="宋体" w:eastAsia="宋体" w:cs="宋体"/>
                <w:b/>
                <w:sz w:val="20"/>
                <w:szCs w:val="20"/>
              </w:rPr>
            </w:pPr>
            <w:r>
              <w:rPr>
                <w:rFonts w:hint="eastAsia" w:ascii="宋体" w:hAnsi="宋体" w:eastAsia="宋体" w:cs="宋体"/>
                <w:b/>
                <w:sz w:val="20"/>
                <w:szCs w:val="20"/>
                <w:lang w:val="en-US" w:eastAsia="zh-CN"/>
              </w:rPr>
              <w:t>四川</w:t>
            </w:r>
            <w:r>
              <w:rPr>
                <w:rFonts w:hint="eastAsia" w:ascii="宋体" w:hAnsi="宋体" w:eastAsia="宋体" w:cs="宋体"/>
                <w:b/>
                <w:sz w:val="20"/>
                <w:szCs w:val="20"/>
              </w:rPr>
              <w:t>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120" w:type="dxa"/>
            <w:noWrap w:val="0"/>
            <w:vAlign w:val="center"/>
          </w:tcPr>
          <w:p>
            <w:pPr>
              <w:spacing w:line="0" w:lineRule="atLeast"/>
              <w:rPr>
                <w:rFonts w:hint="eastAsia" w:ascii="宋体" w:hAnsi="宋体" w:eastAsia="宋体" w:cs="宋体"/>
                <w:sz w:val="20"/>
                <w:szCs w:val="20"/>
              </w:rPr>
            </w:pPr>
            <w:r>
              <w:rPr>
                <w:rFonts w:hint="eastAsia" w:ascii="宋体" w:hAnsi="宋体" w:eastAsia="宋体" w:cs="宋体"/>
                <w:sz w:val="20"/>
                <w:szCs w:val="20"/>
              </w:rPr>
              <w:t>场团合一</w:t>
            </w:r>
          </w:p>
        </w:tc>
        <w:tc>
          <w:tcPr>
            <w:tcW w:w="2424" w:type="dxa"/>
            <w:noWrap w:val="0"/>
            <w:vAlign w:val="center"/>
          </w:tcPr>
          <w:p>
            <w:pPr>
              <w:spacing w:line="0" w:lineRule="atLeast"/>
              <w:rPr>
                <w:rFonts w:hint="eastAsia" w:ascii="宋体" w:hAnsi="宋体" w:eastAsia="宋体" w:cs="宋体"/>
                <w:sz w:val="20"/>
                <w:szCs w:val="20"/>
              </w:rPr>
            </w:pPr>
            <w:r>
              <w:rPr>
                <w:rFonts w:hint="eastAsia" w:ascii="宋体" w:hAnsi="宋体" w:eastAsia="宋体" w:cs="宋体"/>
                <w:sz w:val="20"/>
                <w:szCs w:val="20"/>
              </w:rPr>
              <w:t>指剧场与演出</w:t>
            </w:r>
            <w:r>
              <w:rPr>
                <w:rFonts w:hint="eastAsia" w:ascii="宋体" w:hAnsi="宋体" w:eastAsia="宋体" w:cs="宋体"/>
                <w:sz w:val="20"/>
                <w:szCs w:val="20"/>
                <w:lang w:val="en-US" w:eastAsia="zh-CN"/>
              </w:rPr>
              <w:t>团体</w:t>
            </w:r>
            <w:r>
              <w:rPr>
                <w:rFonts w:hint="eastAsia" w:ascii="宋体" w:hAnsi="宋体" w:eastAsia="宋体" w:cs="宋体"/>
                <w:sz w:val="20"/>
                <w:szCs w:val="20"/>
              </w:rPr>
              <w:t>为一个建制单位, 剧场主要是为所属的剧团提供演出场所, 而剧团大部分时间在自己所拥有的剧场进行演出</w:t>
            </w:r>
          </w:p>
        </w:tc>
        <w:tc>
          <w:tcPr>
            <w:tcW w:w="2411" w:type="dxa"/>
            <w:noWrap w:val="0"/>
            <w:vAlign w:val="center"/>
          </w:tcPr>
          <w:p>
            <w:pPr>
              <w:spacing w:line="0" w:lineRule="atLeast"/>
              <w:rPr>
                <w:rFonts w:hint="eastAsia" w:ascii="宋体" w:hAnsi="宋体" w:eastAsia="宋体" w:cs="宋体"/>
                <w:sz w:val="20"/>
                <w:szCs w:val="20"/>
              </w:rPr>
            </w:pPr>
            <w:r>
              <w:rPr>
                <w:rFonts w:hint="eastAsia" w:ascii="宋体" w:hAnsi="宋体" w:eastAsia="宋体" w:cs="宋体"/>
                <w:sz w:val="20"/>
                <w:szCs w:val="20"/>
              </w:rPr>
              <w:t>如德国美因兹大剧院, 除了大剧院外, 还有一个80人的交响乐团,一个40人的合唱团,一个30人的芭蕾舞团,剧院和剧团共有演职员和管理人员500人。这些剧团大部分时间在自己的剧场演出, 一年平均演出场次约400场</w:t>
            </w:r>
          </w:p>
        </w:tc>
        <w:tc>
          <w:tcPr>
            <w:tcW w:w="2465" w:type="dxa"/>
            <w:noWrap w:val="0"/>
            <w:vAlign w:val="center"/>
          </w:tcPr>
          <w:p>
            <w:pPr>
              <w:spacing w:line="0" w:lineRule="atLeast"/>
              <w:rPr>
                <w:rFonts w:hint="eastAsia" w:ascii="宋体" w:hAnsi="宋体" w:eastAsia="宋体" w:cs="宋体"/>
                <w:sz w:val="20"/>
                <w:szCs w:val="20"/>
                <w:lang w:eastAsia="zh-CN"/>
              </w:rPr>
            </w:pPr>
            <w:r>
              <w:rPr>
                <w:rFonts w:hint="eastAsia" w:ascii="宋体" w:hAnsi="宋体" w:eastAsia="宋体" w:cs="宋体"/>
                <w:sz w:val="20"/>
                <w:szCs w:val="20"/>
                <w:highlight w:val="none"/>
                <w:lang w:val="en-US" w:eastAsia="zh-CN"/>
              </w:rPr>
              <w:t>四川省川剧院</w:t>
            </w:r>
            <w:r>
              <w:rPr>
                <w:rFonts w:hint="eastAsia" w:ascii="宋体" w:hAnsi="宋体" w:eastAsia="宋体" w:cs="宋体"/>
                <w:sz w:val="20"/>
                <w:szCs w:val="20"/>
                <w:highlight w:val="none"/>
              </w:rPr>
              <w:t>等国有团体都拥有自己的剧场，他们大部分时间也都在自己的剧场演出</w:t>
            </w:r>
            <w:r>
              <w:rPr>
                <w:rFonts w:hint="eastAsia" w:ascii="宋体" w:hAnsi="宋体" w:eastAsia="宋体" w:cs="宋体"/>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0" w:type="dxa"/>
            <w:noWrap w:val="0"/>
            <w:vAlign w:val="center"/>
          </w:tcPr>
          <w:p>
            <w:pPr>
              <w:spacing w:line="0" w:lineRule="atLeast"/>
              <w:rPr>
                <w:rFonts w:hint="eastAsia" w:ascii="宋体" w:hAnsi="宋体" w:eastAsia="宋体" w:cs="宋体"/>
                <w:sz w:val="20"/>
                <w:szCs w:val="20"/>
              </w:rPr>
            </w:pPr>
            <w:r>
              <w:rPr>
                <w:rFonts w:hint="eastAsia" w:ascii="宋体" w:hAnsi="宋体" w:eastAsia="宋体" w:cs="宋体"/>
                <w:sz w:val="20"/>
                <w:szCs w:val="20"/>
              </w:rPr>
              <w:t>场团独立</w:t>
            </w:r>
          </w:p>
        </w:tc>
        <w:tc>
          <w:tcPr>
            <w:tcW w:w="2424" w:type="dxa"/>
            <w:noWrap w:val="0"/>
            <w:vAlign w:val="center"/>
          </w:tcPr>
          <w:p>
            <w:pPr>
              <w:spacing w:line="0" w:lineRule="atLeast"/>
              <w:rPr>
                <w:rFonts w:hint="eastAsia" w:ascii="宋体" w:hAnsi="宋体" w:eastAsia="宋体" w:cs="宋体"/>
                <w:sz w:val="20"/>
                <w:szCs w:val="20"/>
              </w:rPr>
            </w:pPr>
            <w:r>
              <w:rPr>
                <w:rFonts w:hint="eastAsia" w:ascii="宋体" w:hAnsi="宋体" w:eastAsia="宋体" w:cs="宋体"/>
                <w:sz w:val="20"/>
                <w:szCs w:val="20"/>
                <w:lang w:val="en-US" w:eastAsia="zh-CN"/>
              </w:rPr>
              <w:t>指</w:t>
            </w:r>
            <w:r>
              <w:rPr>
                <w:rFonts w:hint="eastAsia" w:ascii="宋体" w:hAnsi="宋体" w:eastAsia="宋体" w:cs="宋体"/>
                <w:sz w:val="20"/>
                <w:szCs w:val="20"/>
              </w:rPr>
              <w:t>剧场与</w:t>
            </w:r>
            <w:r>
              <w:rPr>
                <w:rFonts w:hint="eastAsia" w:ascii="宋体" w:hAnsi="宋体" w:eastAsia="宋体" w:cs="宋体"/>
                <w:sz w:val="20"/>
                <w:szCs w:val="20"/>
                <w:lang w:val="en-US" w:eastAsia="zh-CN"/>
              </w:rPr>
              <w:t>演出团体</w:t>
            </w:r>
            <w:r>
              <w:rPr>
                <w:rFonts w:hint="eastAsia" w:ascii="宋体" w:hAnsi="宋体" w:eastAsia="宋体" w:cs="宋体"/>
                <w:sz w:val="20"/>
                <w:szCs w:val="20"/>
              </w:rPr>
              <w:t>是相互独立的关系,剧场没有自己的剧团,以单一的剧场或艺术中心为建制,主要任务是组织引进外来剧团进行演出</w:t>
            </w:r>
          </w:p>
        </w:tc>
        <w:tc>
          <w:tcPr>
            <w:tcW w:w="2411" w:type="dxa"/>
            <w:noWrap w:val="0"/>
            <w:vAlign w:val="center"/>
          </w:tcPr>
          <w:p>
            <w:pPr>
              <w:spacing w:line="0" w:lineRule="atLeast"/>
              <w:rPr>
                <w:rFonts w:hint="eastAsia" w:ascii="宋体" w:hAnsi="宋体" w:eastAsia="宋体" w:cs="宋体"/>
                <w:sz w:val="20"/>
                <w:szCs w:val="20"/>
              </w:rPr>
            </w:pPr>
            <w:r>
              <w:rPr>
                <w:rFonts w:hint="eastAsia" w:ascii="宋体" w:hAnsi="宋体" w:eastAsia="宋体" w:cs="宋体"/>
                <w:sz w:val="20"/>
                <w:szCs w:val="20"/>
              </w:rPr>
              <w:t>大部分的剧团、剧院</w:t>
            </w:r>
          </w:p>
        </w:tc>
        <w:tc>
          <w:tcPr>
            <w:tcW w:w="2465" w:type="dxa"/>
            <w:noWrap w:val="0"/>
            <w:vAlign w:val="center"/>
          </w:tcPr>
          <w:p>
            <w:pPr>
              <w:spacing w:line="0" w:lineRule="atLeast"/>
              <w:rPr>
                <w:rFonts w:hint="eastAsia" w:ascii="宋体" w:hAnsi="宋体" w:eastAsia="宋体" w:cs="宋体"/>
                <w:sz w:val="20"/>
                <w:szCs w:val="20"/>
              </w:rPr>
            </w:pPr>
            <w:r>
              <w:rPr>
                <w:rFonts w:hint="eastAsia" w:ascii="宋体" w:hAnsi="宋体" w:eastAsia="宋体" w:cs="宋体"/>
                <w:sz w:val="20"/>
                <w:szCs w:val="20"/>
              </w:rPr>
              <w:t>大部分的剧团、剧院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0" w:type="dxa"/>
            <w:noWrap w:val="0"/>
            <w:vAlign w:val="center"/>
          </w:tcPr>
          <w:p>
            <w:pPr>
              <w:spacing w:line="0" w:lineRule="atLeast"/>
              <w:rPr>
                <w:rFonts w:hint="eastAsia" w:ascii="宋体" w:hAnsi="宋体" w:eastAsia="宋体" w:cs="宋体"/>
                <w:sz w:val="20"/>
                <w:szCs w:val="20"/>
                <w:lang w:eastAsia="zh-CN"/>
              </w:rPr>
            </w:pPr>
            <w:r>
              <w:rPr>
                <w:rFonts w:hint="eastAsia" w:ascii="宋体" w:hAnsi="宋体" w:eastAsia="宋体" w:cs="宋体"/>
                <w:sz w:val="20"/>
                <w:szCs w:val="20"/>
              </w:rPr>
              <w:t>场团</w:t>
            </w:r>
            <w:r>
              <w:rPr>
                <w:rFonts w:hint="eastAsia" w:ascii="宋体" w:hAnsi="宋体" w:eastAsia="宋体" w:cs="宋体"/>
                <w:sz w:val="20"/>
                <w:szCs w:val="20"/>
                <w:lang w:val="en-US" w:eastAsia="zh-CN"/>
              </w:rPr>
              <w:t>签约</w:t>
            </w:r>
          </w:p>
        </w:tc>
        <w:tc>
          <w:tcPr>
            <w:tcW w:w="2424" w:type="dxa"/>
            <w:noWrap w:val="0"/>
            <w:vAlign w:val="center"/>
          </w:tcPr>
          <w:p>
            <w:pPr>
              <w:spacing w:line="0" w:lineRule="atLeast"/>
              <w:rPr>
                <w:rFonts w:hint="eastAsia" w:ascii="宋体" w:hAnsi="宋体" w:eastAsia="宋体" w:cs="宋体"/>
                <w:sz w:val="20"/>
                <w:szCs w:val="20"/>
              </w:rPr>
            </w:pPr>
            <w:r>
              <w:rPr>
                <w:rFonts w:hint="eastAsia" w:ascii="宋体" w:hAnsi="宋体" w:eastAsia="宋体" w:cs="宋体"/>
                <w:sz w:val="20"/>
                <w:szCs w:val="20"/>
              </w:rPr>
              <w:t>指为了某个著名演员或某台剧目的定点演出专门建设的剧场</w:t>
            </w:r>
          </w:p>
        </w:tc>
        <w:tc>
          <w:tcPr>
            <w:tcW w:w="2411" w:type="dxa"/>
            <w:noWrap w:val="0"/>
            <w:vAlign w:val="center"/>
          </w:tcPr>
          <w:p>
            <w:pPr>
              <w:spacing w:line="0" w:lineRule="atLeast"/>
              <w:rPr>
                <w:rFonts w:hint="eastAsia" w:ascii="宋体" w:hAnsi="宋体" w:eastAsia="宋体" w:cs="宋体"/>
                <w:sz w:val="20"/>
                <w:szCs w:val="20"/>
                <w:lang w:val="en-US" w:eastAsia="zh-CN"/>
              </w:rPr>
            </w:pPr>
            <w:r>
              <w:rPr>
                <w:rFonts w:hint="eastAsia" w:ascii="宋体" w:hAnsi="宋体" w:eastAsia="宋体" w:cs="宋体"/>
                <w:sz w:val="20"/>
                <w:szCs w:val="20"/>
              </w:rPr>
              <w:t>如拉斯维加斯凯撒宫朱白莉剧场,就是专门为美国当今最走红的女歌星席琳· 迪奥演出而建造的。</w:t>
            </w:r>
            <w:r>
              <w:rPr>
                <w:rFonts w:hint="eastAsia" w:ascii="宋体" w:hAnsi="宋体" w:eastAsia="宋体" w:cs="宋体"/>
                <w:sz w:val="20"/>
                <w:szCs w:val="20"/>
                <w:lang w:val="en-US" w:eastAsia="zh-CN"/>
              </w:rPr>
              <w:t>德国柏林波茨坦广场剧院，该歌剧院是为奔驰公司投资的歌剧《巴黎圣母院的敲钟人》而建设的。</w:t>
            </w:r>
          </w:p>
        </w:tc>
        <w:tc>
          <w:tcPr>
            <w:tcW w:w="2465" w:type="dxa"/>
            <w:noWrap w:val="0"/>
            <w:vAlign w:val="center"/>
          </w:tcPr>
          <w:p>
            <w:pPr>
              <w:spacing w:line="0" w:lineRule="atLeas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暂时没有此种类型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0" w:type="dxa"/>
            <w:noWrap w:val="0"/>
            <w:vAlign w:val="center"/>
          </w:tcPr>
          <w:p>
            <w:pPr>
              <w:spacing w:line="0" w:lineRule="atLeast"/>
              <w:rPr>
                <w:rFonts w:hint="eastAsia" w:ascii="宋体" w:hAnsi="宋体" w:eastAsia="宋体" w:cs="宋体"/>
                <w:sz w:val="20"/>
                <w:szCs w:val="20"/>
              </w:rPr>
            </w:pPr>
          </w:p>
          <w:p>
            <w:pPr>
              <w:spacing w:line="0" w:lineRule="atLeast"/>
              <w:rPr>
                <w:rFonts w:hint="eastAsia" w:ascii="宋体" w:hAnsi="宋体" w:eastAsia="宋体" w:cs="宋体"/>
                <w:sz w:val="20"/>
                <w:szCs w:val="20"/>
              </w:rPr>
            </w:pPr>
          </w:p>
          <w:p>
            <w:pPr>
              <w:spacing w:line="0" w:lineRule="atLeas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团场合作</w:t>
            </w:r>
          </w:p>
          <w:p>
            <w:pPr>
              <w:spacing w:line="0" w:lineRule="atLeast"/>
              <w:rPr>
                <w:rFonts w:hint="eastAsia" w:ascii="宋体" w:hAnsi="宋体" w:eastAsia="宋体" w:cs="宋体"/>
                <w:sz w:val="20"/>
                <w:szCs w:val="20"/>
              </w:rPr>
            </w:pPr>
          </w:p>
          <w:p>
            <w:pPr>
              <w:spacing w:line="0" w:lineRule="atLeast"/>
              <w:rPr>
                <w:rFonts w:hint="eastAsia" w:ascii="宋体" w:hAnsi="宋体" w:eastAsia="宋体" w:cs="宋体"/>
                <w:sz w:val="20"/>
                <w:szCs w:val="20"/>
              </w:rPr>
            </w:pPr>
          </w:p>
          <w:p>
            <w:pPr>
              <w:spacing w:line="0" w:lineRule="atLeast"/>
              <w:rPr>
                <w:rFonts w:hint="eastAsia" w:ascii="宋体" w:hAnsi="宋体" w:eastAsia="宋体" w:cs="宋体"/>
                <w:sz w:val="20"/>
                <w:szCs w:val="20"/>
              </w:rPr>
            </w:pPr>
          </w:p>
        </w:tc>
        <w:tc>
          <w:tcPr>
            <w:tcW w:w="2424" w:type="dxa"/>
            <w:noWrap w:val="0"/>
            <w:vAlign w:val="center"/>
          </w:tcPr>
          <w:p>
            <w:pPr>
              <w:spacing w:line="0" w:lineRule="atLeas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剧场和演出团体通过租场合作的方式，发挥“以场带团”或“以团带场”的优势，最大程度发挥剧场场地、档期、设施设备和演出剧目、演员等资源的合作效能。</w:t>
            </w:r>
          </w:p>
        </w:tc>
        <w:tc>
          <w:tcPr>
            <w:tcW w:w="2411" w:type="dxa"/>
            <w:noWrap w:val="0"/>
            <w:vAlign w:val="center"/>
          </w:tcPr>
          <w:p>
            <w:pPr>
              <w:spacing w:line="0" w:lineRule="atLeast"/>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w:t>
            </w:r>
          </w:p>
        </w:tc>
        <w:tc>
          <w:tcPr>
            <w:tcW w:w="2465" w:type="dxa"/>
            <w:noWrap w:val="0"/>
            <w:vAlign w:val="center"/>
          </w:tcPr>
          <w:p>
            <w:pPr>
              <w:spacing w:line="0" w:lineRule="atLeas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省内的团场合作模式案例，以四川大剧院为代表。四川大剧院联合四川交响乐团联合出品的“国风·四季音乐会”等项目均采用的是此种模式。</w:t>
            </w:r>
          </w:p>
        </w:tc>
      </w:tr>
    </w:tbl>
    <w:p>
      <w:pPr>
        <w:rPr>
          <w:rFonts w:hint="eastAsia" w:ascii="华文中宋" w:hAnsi="华文中宋" w:eastAsia="华文中宋"/>
        </w:rPr>
      </w:pPr>
    </w:p>
    <w:p>
      <w:pPr>
        <w:ind w:firstLine="640" w:firstLineChars="200"/>
        <w:jc w:val="both"/>
        <w:rPr>
          <w:rFonts w:hint="eastAsia" w:ascii="黑体" w:hAnsi="黑体" w:eastAsia="黑体" w:cs="黑体"/>
          <w:b w:val="0"/>
          <w:bCs w:val="0"/>
          <w:sz w:val="32"/>
          <w:szCs w:val="32"/>
          <w:highlight w:val="none"/>
          <w:lang w:val="en-US" w:eastAsia="zh-CN"/>
        </w:rPr>
      </w:pPr>
      <w:bookmarkStart w:id="12" w:name="_Toc245558597"/>
      <w:bookmarkStart w:id="13" w:name="_Toc213754291"/>
      <w:r>
        <w:rPr>
          <w:rFonts w:hint="eastAsia" w:ascii="黑体" w:hAnsi="黑体" w:eastAsia="黑体" w:cs="黑体"/>
          <w:b w:val="0"/>
          <w:bCs w:val="0"/>
          <w:sz w:val="32"/>
          <w:szCs w:val="32"/>
          <w:highlight w:val="none"/>
          <w:lang w:val="en-US" w:eastAsia="zh-CN"/>
        </w:rPr>
        <w:t>三、四川省文艺表演团体的发展趋势</w:t>
      </w:r>
      <w:bookmarkEnd w:id="12"/>
      <w:bookmarkEnd w:id="13"/>
    </w:p>
    <w:p>
      <w:pPr>
        <w:ind w:firstLine="643" w:firstLineChars="200"/>
        <w:jc w:val="both"/>
        <w:rPr>
          <w:rFonts w:hint="eastAsia" w:ascii="仿宋_GB2312" w:hAnsi="仿宋_GB2312" w:eastAsia="仿宋_GB2312" w:cs="仿宋_GB2312"/>
          <w:b/>
          <w:bCs/>
          <w:sz w:val="32"/>
          <w:szCs w:val="32"/>
          <w:highlight w:val="none"/>
          <w:lang w:val="en-US" w:eastAsia="zh-CN"/>
        </w:rPr>
      </w:pPr>
      <w:bookmarkStart w:id="14" w:name="_Toc213754292"/>
      <w:bookmarkStart w:id="15" w:name="_Toc245558598"/>
      <w:r>
        <w:rPr>
          <w:rFonts w:hint="eastAsia" w:ascii="仿宋_GB2312" w:hAnsi="仿宋_GB2312" w:eastAsia="仿宋_GB2312" w:cs="仿宋_GB2312"/>
          <w:b/>
          <w:bCs/>
          <w:sz w:val="32"/>
          <w:szCs w:val="32"/>
          <w:highlight w:val="none"/>
          <w:lang w:val="en-US" w:eastAsia="zh-CN"/>
        </w:rPr>
        <w:t>1．业务</w:t>
      </w:r>
      <w:bookmarkEnd w:id="14"/>
      <w:r>
        <w:rPr>
          <w:rFonts w:hint="eastAsia" w:ascii="仿宋_GB2312" w:hAnsi="仿宋_GB2312" w:eastAsia="仿宋_GB2312" w:cs="仿宋_GB2312"/>
          <w:b/>
          <w:bCs/>
          <w:sz w:val="32"/>
          <w:szCs w:val="32"/>
          <w:highlight w:val="none"/>
          <w:lang w:val="en-US" w:eastAsia="zh-CN"/>
        </w:rPr>
        <w:t>向纵深拓展，产品开发立体化</w:t>
      </w:r>
      <w:bookmarkEnd w:id="15"/>
    </w:p>
    <w:p>
      <w:pPr>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随着文艺表演团体市场化程度的提高，其业务日益向纵深拓展，产品开发呈现立体化的发展趋势。这主要体现在团体不再将业务领域锁定在表演本身，而是在原有内容的基础上，整合相关领域或相关产业的资源，进行适当的产品线延伸，走产业化的发展之路。</w:t>
      </w:r>
    </w:p>
    <w:p>
      <w:pPr>
        <w:ind w:firstLine="643"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一是演出周边产品的开发</w:t>
      </w:r>
      <w:r>
        <w:rPr>
          <w:rFonts w:hint="eastAsia" w:ascii="仿宋_GB2312" w:hAnsi="仿宋_GB2312" w:eastAsia="仿宋_GB2312" w:cs="仿宋_GB2312"/>
          <w:b w:val="0"/>
          <w:bCs w:val="0"/>
          <w:sz w:val="32"/>
          <w:szCs w:val="32"/>
          <w:highlight w:val="none"/>
          <w:lang w:val="en-US" w:eastAsia="zh-CN"/>
        </w:rPr>
        <w:t>。所谓演出周边产品，是指主题服装、电子产品、文创礼品等演出衍生产品。周边产品的开发改变了演出业收入来源的单一性，丰富了团体的收入渠道。尤其是儿童剧周边产品深受市场喜爱，推动了单一的儿童演出向儿童娱乐业发展，形成演出、动漫、图书、食品、玩具一体化的儿童文化产业链。如大喜时代剧场在上演儿童剧《奥特曼》与《汪汪队立大功》时，通过销售与剧目相关的动漫人物玩具和文具也获到了良好的经济效益。</w:t>
      </w:r>
    </w:p>
    <w:p>
      <w:pPr>
        <w:ind w:firstLine="643"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二是向影视等产业方向发展</w:t>
      </w:r>
      <w:r>
        <w:rPr>
          <w:rFonts w:hint="eastAsia" w:ascii="仿宋_GB2312" w:hAnsi="仿宋_GB2312" w:eastAsia="仿宋_GB2312" w:cs="仿宋_GB2312"/>
          <w:b w:val="0"/>
          <w:bCs w:val="0"/>
          <w:sz w:val="32"/>
          <w:szCs w:val="32"/>
          <w:highlight w:val="none"/>
          <w:lang w:val="en-US" w:eastAsia="zh-CN"/>
        </w:rPr>
        <w:t>。由于文艺表演与影视行业具有某些共同的特征，因此由演出向影视业拓展成为可能。如</w:t>
      </w:r>
      <w:r>
        <w:rPr>
          <w:rFonts w:hint="eastAsia" w:ascii="仿宋_GB2312" w:hAnsi="仿宋_GB2312" w:eastAsia="仿宋_GB2312" w:cs="仿宋_GB2312"/>
          <w:b w:val="0"/>
          <w:bCs w:val="0"/>
          <w:sz w:val="32"/>
          <w:szCs w:val="32"/>
          <w:highlight w:val="none"/>
          <w:lang w:val="en-US" w:eastAsia="zh-Hans"/>
        </w:rPr>
        <w:t>开心麻花作为戏剧全产业链公司</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Hans"/>
        </w:rPr>
        <w:t>形成了成熟的舞台剧</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Hans"/>
        </w:rPr>
        <w:t>电影编导演艺人才培养体系</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CN"/>
        </w:rPr>
        <w:t>其中包括沈腾、马丽、艾伦、常远、宋阳等知名导演及演员。在原有“戏剧演员”身份基础上，</w:t>
      </w:r>
      <w:r>
        <w:rPr>
          <w:rFonts w:hint="eastAsia" w:ascii="仿宋_GB2312" w:hAnsi="仿宋_GB2312" w:eastAsia="仿宋_GB2312" w:cs="仿宋_GB2312"/>
          <w:b w:val="0"/>
          <w:bCs w:val="0"/>
          <w:sz w:val="32"/>
          <w:szCs w:val="32"/>
          <w:highlight w:val="none"/>
          <w:lang w:val="en-US" w:eastAsia="zh-Hans"/>
        </w:rPr>
        <w:t>开心麻花</w:t>
      </w:r>
      <w:r>
        <w:rPr>
          <w:rFonts w:hint="eastAsia" w:ascii="仿宋_GB2312" w:hAnsi="仿宋_GB2312" w:eastAsia="仿宋_GB2312" w:cs="仿宋_GB2312"/>
          <w:b w:val="0"/>
          <w:bCs w:val="0"/>
          <w:sz w:val="32"/>
          <w:szCs w:val="32"/>
          <w:highlight w:val="none"/>
          <w:lang w:val="en-US" w:eastAsia="zh-CN"/>
        </w:rPr>
        <w:t>结合短视频、网剧等新兴领域，运营个人IP，开启“</w:t>
      </w:r>
      <w:r>
        <w:rPr>
          <w:rFonts w:hint="eastAsia" w:ascii="仿宋_GB2312" w:hAnsi="仿宋_GB2312" w:eastAsia="仿宋_GB2312" w:cs="仿宋_GB2312"/>
          <w:b w:val="0"/>
          <w:bCs w:val="0"/>
          <w:sz w:val="32"/>
          <w:szCs w:val="32"/>
          <w:highlight w:val="none"/>
          <w:lang w:val="en-US" w:eastAsia="zh-Hans"/>
        </w:rPr>
        <w:t>线上喜剧人才</w:t>
      </w:r>
      <w:r>
        <w:rPr>
          <w:rFonts w:hint="eastAsia" w:ascii="仿宋_GB2312" w:hAnsi="仿宋_GB2312" w:eastAsia="仿宋_GB2312" w:cs="仿宋_GB2312"/>
          <w:b w:val="0"/>
          <w:bCs w:val="0"/>
          <w:sz w:val="32"/>
          <w:szCs w:val="32"/>
          <w:highlight w:val="none"/>
          <w:lang w:val="en-US" w:eastAsia="zh-CN"/>
        </w:rPr>
        <w:t>孵化”一体化模式。</w:t>
      </w:r>
      <w:r>
        <w:rPr>
          <w:rFonts w:hint="eastAsia" w:ascii="仿宋_GB2312" w:hAnsi="仿宋_GB2312" w:eastAsia="仿宋_GB2312" w:cs="仿宋_GB2312"/>
          <w:b w:val="0"/>
          <w:bCs w:val="0"/>
          <w:sz w:val="32"/>
          <w:szCs w:val="32"/>
          <w:highlight w:val="none"/>
          <w:lang w:val="en-US" w:eastAsia="zh-Hans"/>
        </w:rPr>
        <w:t>开心麻花主控及参投</w:t>
      </w:r>
      <w:r>
        <w:rPr>
          <w:rFonts w:hint="eastAsia" w:ascii="仿宋_GB2312" w:hAnsi="仿宋_GB2312" w:eastAsia="仿宋_GB2312" w:cs="仿宋_GB2312"/>
          <w:b w:val="0"/>
          <w:bCs w:val="0"/>
          <w:sz w:val="32"/>
          <w:szCs w:val="32"/>
          <w:highlight w:val="none"/>
          <w:lang w:val="en-US" w:eastAsia="zh-CN"/>
        </w:rPr>
        <w:t>的</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Hans"/>
        </w:rPr>
        <w:t>西虹市首富</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Hans"/>
        </w:rPr>
        <w:t>李茶的姑妈</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Hans"/>
        </w:rPr>
        <w:t>这个杀手不太冷静</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Hans"/>
        </w:rPr>
        <w:t>等电影作品十余部</w:t>
      </w:r>
      <w:r>
        <w:rPr>
          <w:rFonts w:hint="default" w:ascii="仿宋_GB2312" w:hAnsi="仿宋_GB2312" w:eastAsia="仿宋_GB2312" w:cs="仿宋_GB2312"/>
          <w:b w:val="0"/>
          <w:bCs w:val="0"/>
          <w:sz w:val="32"/>
          <w:szCs w:val="32"/>
          <w:highlight w:val="none"/>
          <w:lang w:val="en-US" w:eastAsia="zh-Hans"/>
        </w:rPr>
        <w:t>，</w:t>
      </w:r>
      <w:r>
        <w:rPr>
          <w:rFonts w:hint="eastAsia" w:ascii="仿宋_GB2312" w:hAnsi="仿宋_GB2312" w:eastAsia="仿宋_GB2312" w:cs="仿宋_GB2312"/>
          <w:b w:val="0"/>
          <w:bCs w:val="0"/>
          <w:sz w:val="32"/>
          <w:szCs w:val="32"/>
          <w:highlight w:val="none"/>
          <w:lang w:val="en-US" w:eastAsia="zh-Hans"/>
        </w:rPr>
        <w:t>创造电影票房超</w:t>
      </w:r>
      <w:r>
        <w:rPr>
          <w:rFonts w:hint="default" w:ascii="仿宋_GB2312" w:hAnsi="仿宋_GB2312" w:eastAsia="仿宋_GB2312" w:cs="仿宋_GB2312"/>
          <w:b w:val="0"/>
          <w:bCs w:val="0"/>
          <w:sz w:val="32"/>
          <w:szCs w:val="32"/>
          <w:highlight w:val="none"/>
          <w:lang w:val="en-US" w:eastAsia="zh-Hans"/>
        </w:rPr>
        <w:t>100</w:t>
      </w:r>
      <w:r>
        <w:rPr>
          <w:rFonts w:hint="eastAsia" w:ascii="仿宋_GB2312" w:hAnsi="仿宋_GB2312" w:eastAsia="仿宋_GB2312" w:cs="仿宋_GB2312"/>
          <w:b w:val="0"/>
          <w:bCs w:val="0"/>
          <w:sz w:val="32"/>
          <w:szCs w:val="32"/>
          <w:highlight w:val="none"/>
          <w:lang w:val="en-US" w:eastAsia="zh-Hans"/>
        </w:rPr>
        <w:t>亿</w:t>
      </w:r>
      <w:r>
        <w:rPr>
          <w:rFonts w:hint="eastAsia" w:ascii="仿宋_GB2312" w:hAnsi="仿宋_GB2312" w:eastAsia="仿宋_GB2312" w:cs="仿宋_GB2312"/>
          <w:b w:val="0"/>
          <w:bCs w:val="0"/>
          <w:sz w:val="32"/>
          <w:szCs w:val="32"/>
          <w:highlight w:val="none"/>
          <w:lang w:val="en-US" w:eastAsia="zh-CN"/>
        </w:rPr>
        <w:t>。</w:t>
      </w:r>
    </w:p>
    <w:p>
      <w:pPr>
        <w:ind w:firstLine="643" w:firstLineChars="200"/>
        <w:jc w:val="both"/>
        <w:rPr>
          <w:rFonts w:hint="eastAsia" w:ascii="仿宋_GB2312" w:hAnsi="仿宋_GB2312" w:eastAsia="仿宋_GB2312" w:cs="仿宋_GB2312"/>
          <w:b/>
          <w:bCs/>
          <w:sz w:val="32"/>
          <w:szCs w:val="32"/>
          <w:highlight w:val="none"/>
          <w:lang w:val="en-US" w:eastAsia="zh-CN"/>
        </w:rPr>
      </w:pPr>
      <w:bookmarkStart w:id="16" w:name="_Toc245558599"/>
      <w:r>
        <w:rPr>
          <w:rFonts w:hint="eastAsia" w:ascii="仿宋_GB2312" w:hAnsi="仿宋_GB2312" w:eastAsia="仿宋_GB2312" w:cs="仿宋_GB2312"/>
          <w:b/>
          <w:bCs/>
          <w:sz w:val="32"/>
          <w:szCs w:val="32"/>
          <w:highlight w:val="none"/>
          <w:lang w:val="en-US" w:eastAsia="zh-CN"/>
        </w:rPr>
        <w:t>2．经营场馆的趋势和场团一体化</w:t>
      </w:r>
      <w:bookmarkEnd w:id="16"/>
    </w:p>
    <w:p>
      <w:pPr>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目前四川省演出场馆紧张是很多文艺表演团体面临的一个突出问题。场馆的有效供给不足使得以舞台表演为主要演出方式的团体迫切需要有自己的剧场，而且剧场的经营也能为其带来可观的收入。目前，自身拥有剧场的团体已将剧场经营作为一项重要的经营活动，如四川大剧院利用自己的场馆开展经营性物业和出租物业，除自身经营2个剧场之外，还将其他剧场建筑空间出租给一些文化运营机构等。</w:t>
      </w:r>
    </w:p>
    <w:p>
      <w:pPr>
        <w:ind w:firstLine="643" w:firstLineChars="200"/>
        <w:jc w:val="both"/>
        <w:rPr>
          <w:rFonts w:hint="eastAsia" w:ascii="仿宋_GB2312" w:hAnsi="仿宋_GB2312" w:eastAsia="仿宋_GB2312" w:cs="仿宋_GB2312"/>
          <w:b/>
          <w:bCs/>
          <w:sz w:val="32"/>
          <w:szCs w:val="32"/>
          <w:highlight w:val="none"/>
          <w:lang w:val="en-US" w:eastAsia="zh-Hans"/>
        </w:rPr>
      </w:pPr>
      <w:r>
        <w:rPr>
          <w:rFonts w:hint="eastAsia" w:ascii="仿宋_GB2312" w:hAnsi="仿宋_GB2312" w:eastAsia="仿宋_GB2312" w:cs="仿宋_GB2312"/>
          <w:b/>
          <w:bCs/>
          <w:sz w:val="32"/>
          <w:szCs w:val="32"/>
          <w:highlight w:val="none"/>
          <w:lang w:val="en-US" w:eastAsia="zh-CN"/>
        </w:rPr>
        <w:t xml:space="preserve">3. </w:t>
      </w:r>
      <w:r>
        <w:rPr>
          <w:rFonts w:hint="eastAsia" w:ascii="仿宋_GB2312" w:hAnsi="仿宋_GB2312" w:eastAsia="仿宋_GB2312" w:cs="仿宋_GB2312"/>
          <w:b/>
          <w:bCs/>
          <w:sz w:val="32"/>
          <w:szCs w:val="32"/>
          <w:highlight w:val="none"/>
          <w:lang w:val="en-US" w:eastAsia="zh-Hans"/>
        </w:rPr>
        <w:t>剧场运营及新空间演艺</w:t>
      </w:r>
    </w:p>
    <w:p>
      <w:pPr>
        <w:ind w:firstLine="640" w:firstLineChars="200"/>
        <w:jc w:val="both"/>
        <w:rPr>
          <w:rFonts w:hint="eastAsia" w:ascii="仿宋_GB2312" w:hAnsi="仿宋_GB2312" w:eastAsia="仿宋_GB2312" w:cs="仿宋_GB2312"/>
          <w:b w:val="0"/>
          <w:bCs w:val="0"/>
          <w:sz w:val="32"/>
          <w:szCs w:val="32"/>
          <w:highlight w:val="none"/>
          <w:lang w:val="en-US" w:eastAsia="zh-Hans"/>
        </w:rPr>
      </w:pPr>
      <w:r>
        <w:rPr>
          <w:rFonts w:hint="eastAsia" w:ascii="仿宋_GB2312" w:hAnsi="仿宋_GB2312" w:eastAsia="仿宋_GB2312" w:cs="仿宋_GB2312"/>
          <w:b w:val="0"/>
          <w:bCs w:val="0"/>
          <w:sz w:val="32"/>
          <w:szCs w:val="32"/>
          <w:highlight w:val="none"/>
          <w:lang w:val="en-US" w:eastAsia="zh-CN"/>
        </w:rPr>
        <w:t>同时，随着沉浸式戏剧空间的蓬勃发展，沉浸式戏剧越来越收到人们的关注和喜爱。域上和美的《成都偷心》、</w:t>
      </w:r>
      <w:r>
        <w:rPr>
          <w:rFonts w:hint="eastAsia" w:ascii="仿宋_GB2312" w:hAnsi="仿宋_GB2312" w:eastAsia="仿宋_GB2312" w:cs="仿宋_GB2312"/>
          <w:b w:val="0"/>
          <w:bCs w:val="0"/>
          <w:sz w:val="32"/>
          <w:szCs w:val="32"/>
          <w:highlight w:val="none"/>
          <w:lang w:val="en-US" w:eastAsia="zh-Hans"/>
        </w:rPr>
        <w:t>开心麻花环球汇剧场及沉浸式互动带餐喜剧</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highlight w:val="none"/>
          <w:lang w:val="en-US" w:eastAsia="zh-Hans"/>
        </w:rPr>
        <w:t>捞金晚宴</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highlight w:val="none"/>
          <w:lang w:val="en-US" w:eastAsia="zh-Hans"/>
        </w:rPr>
        <w:t>戏剧空间</w:t>
      </w:r>
      <w:r>
        <w:rPr>
          <w:rFonts w:hint="eastAsia" w:ascii="仿宋_GB2312" w:hAnsi="仿宋_GB2312" w:eastAsia="仿宋_GB2312" w:cs="仿宋_GB2312"/>
          <w:b w:val="0"/>
          <w:bCs w:val="0"/>
          <w:sz w:val="32"/>
          <w:szCs w:val="32"/>
          <w:highlight w:val="none"/>
          <w:lang w:val="en-US" w:eastAsia="zh-CN"/>
        </w:rPr>
        <w:t>、妙剧场的赛博国潮秀《花重锦官城》等，</w:t>
      </w:r>
      <w:r>
        <w:rPr>
          <w:rFonts w:hint="eastAsia" w:ascii="仿宋_GB2312" w:hAnsi="仿宋_GB2312" w:eastAsia="仿宋_GB2312" w:cs="仿宋_GB2312"/>
          <w:b w:val="0"/>
          <w:bCs w:val="0"/>
          <w:sz w:val="32"/>
          <w:szCs w:val="32"/>
          <w:highlight w:val="none"/>
          <w:lang w:val="en-US" w:eastAsia="zh-Hans"/>
        </w:rPr>
        <w:t>让观众通过“视、听、</w:t>
      </w:r>
      <w:r>
        <w:rPr>
          <w:rFonts w:hint="eastAsia" w:ascii="仿宋_GB2312" w:hAnsi="仿宋_GB2312" w:eastAsia="仿宋_GB2312" w:cs="仿宋_GB2312"/>
          <w:b w:val="0"/>
          <w:bCs w:val="0"/>
          <w:sz w:val="32"/>
          <w:szCs w:val="32"/>
          <w:highlight w:val="none"/>
          <w:lang w:val="en-US" w:eastAsia="zh-CN"/>
        </w:rPr>
        <w:t>嗅</w:t>
      </w:r>
      <w:r>
        <w:rPr>
          <w:rFonts w:hint="eastAsia" w:ascii="仿宋_GB2312" w:hAnsi="仿宋_GB2312" w:eastAsia="仿宋_GB2312" w:cs="仿宋_GB2312"/>
          <w:b w:val="0"/>
          <w:bCs w:val="0"/>
          <w:sz w:val="32"/>
          <w:szCs w:val="32"/>
          <w:highlight w:val="none"/>
          <w:lang w:val="en-US" w:eastAsia="zh-Hans"/>
        </w:rPr>
        <w:t>、味、触”来欣赏的演艺活动，获得全新的观演体验。其主要特点是故事性、艺术性、沉浸感与参与感强，对都市年轻消费群体有很大的吸引力。</w:t>
      </w:r>
    </w:p>
    <w:p>
      <w:pPr>
        <w:ind w:firstLine="643" w:firstLineChars="200"/>
        <w:jc w:val="both"/>
        <w:rPr>
          <w:rFonts w:hint="eastAsia" w:ascii="仿宋_GB2312" w:hAnsi="仿宋_GB2312" w:eastAsia="仿宋_GB2312" w:cs="仿宋_GB2312"/>
          <w:b/>
          <w:bCs/>
          <w:sz w:val="32"/>
          <w:szCs w:val="32"/>
          <w:highlight w:val="none"/>
          <w:lang w:val="en-US" w:eastAsia="zh-CN"/>
        </w:rPr>
      </w:pPr>
      <w:bookmarkStart w:id="17" w:name="_Toc245558600"/>
      <w:r>
        <w:rPr>
          <w:rFonts w:hint="eastAsia" w:ascii="仿宋_GB2312" w:hAnsi="仿宋_GB2312" w:eastAsia="仿宋_GB2312" w:cs="仿宋_GB2312"/>
          <w:b/>
          <w:bCs/>
          <w:sz w:val="32"/>
          <w:szCs w:val="32"/>
          <w:highlight w:val="none"/>
          <w:lang w:val="en-US" w:eastAsia="zh-CN"/>
        </w:rPr>
        <w:t>4．国有团体的活力正在得到释放</w:t>
      </w:r>
      <w:bookmarkEnd w:id="17"/>
    </w:p>
    <w:p>
      <w:pPr>
        <w:spacing w:line="520" w:lineRule="atLeast"/>
        <w:ind w:firstLine="640" w:firstLineChars="200"/>
        <w:jc w:val="both"/>
        <w:rPr>
          <w:rFonts w:hint="eastAsia" w:ascii="华文中宋" w:hAnsi="华文中宋" w:eastAsia="华文中宋"/>
        </w:rPr>
      </w:pPr>
      <w:r>
        <w:rPr>
          <w:rFonts w:hint="eastAsia" w:ascii="仿宋_GB2312" w:hAnsi="仿宋_GB2312" w:eastAsia="仿宋_GB2312" w:cs="仿宋_GB2312"/>
          <w:color w:val="auto"/>
          <w:sz w:val="32"/>
          <w:szCs w:val="40"/>
          <w:lang w:val="en-US" w:eastAsia="zh-CN"/>
        </w:rPr>
        <w:t>随着国有文艺表演团体转企改制的进行，国有团体的活力逐步释放出来，管理水平得以提升，经营能力得以增强。成都艺术剧院改制为成都艺术剧院有限责任公司，近年来在剧目运作、资源整合、市场推广、品牌经营以及体制创新等方面闯出了一条新路。在新的运行机制下，2021年共创收4256万元，其中商业演出收入3932万元，演出场次137场；城镇惠民演出收入324万元，演出场次36场。2019年至2021年期间，创排了以红军“巧渡金沙江”为背景的杂技剧《金沙江畔》，音乐杂技乱打秀《熊猫餐厅》，反映乡村振兴的现实主义题材的话剧《川西坝上》，反映红军长征保密战线感人故事的革命历史题材话剧《赤水河上的密电码》，以歌颂“七一勋章”获得者、中国人民志愿军“特等功臣”“一级战斗英雄”柴云振为题材的话剧《平凡英雄》，以及“荷花奖”获奖舞剧《努力餐》。</w:t>
      </w:r>
    </w:p>
    <w:p>
      <w:pPr>
        <w:spacing w:line="520" w:lineRule="atLeast"/>
        <w:ind w:firstLine="640" w:firstLineChars="200"/>
        <w:jc w:val="left"/>
        <w:rPr>
          <w:rFonts w:hint="eastAsia" w:ascii="黑体" w:hAnsi="黑体" w:eastAsia="黑体" w:cs="黑体"/>
          <w:color w:val="auto"/>
          <w:sz w:val="32"/>
          <w:szCs w:val="40"/>
          <w:lang w:val="en-US" w:eastAsia="zh-CN"/>
        </w:rPr>
      </w:pPr>
      <w:bookmarkStart w:id="18" w:name="_Toc245558601"/>
      <w:bookmarkStart w:id="19" w:name="_Toc213754295"/>
      <w:r>
        <w:rPr>
          <w:rFonts w:hint="eastAsia" w:ascii="黑体" w:hAnsi="黑体" w:eastAsia="黑体" w:cs="黑体"/>
          <w:color w:val="auto"/>
          <w:sz w:val="32"/>
          <w:szCs w:val="40"/>
          <w:lang w:val="en-US" w:eastAsia="zh-CN"/>
        </w:rPr>
        <w:t>四、四川省文艺表演团体面临的问题</w:t>
      </w:r>
      <w:bookmarkEnd w:id="18"/>
      <w:bookmarkEnd w:id="19"/>
    </w:p>
    <w:p>
      <w:pPr>
        <w:spacing w:line="520" w:lineRule="atLeast"/>
        <w:ind w:firstLine="643" w:firstLineChars="200"/>
        <w:jc w:val="left"/>
        <w:rPr>
          <w:rFonts w:hint="eastAsia" w:ascii="仿宋_GB2312" w:hAnsi="仿宋_GB2312" w:eastAsia="仿宋_GB2312" w:cs="仿宋_GB2312"/>
          <w:b/>
          <w:bCs/>
          <w:color w:val="auto"/>
          <w:sz w:val="32"/>
          <w:szCs w:val="40"/>
          <w:lang w:val="en-US" w:eastAsia="zh-CN"/>
        </w:rPr>
      </w:pPr>
      <w:bookmarkStart w:id="20" w:name="_Toc213754296"/>
      <w:bookmarkStart w:id="21" w:name="_Toc245558602"/>
      <w:r>
        <w:rPr>
          <w:rFonts w:hint="eastAsia" w:ascii="仿宋_GB2312" w:hAnsi="仿宋_GB2312" w:eastAsia="仿宋_GB2312" w:cs="仿宋_GB2312"/>
          <w:b/>
          <w:bCs/>
          <w:color w:val="auto"/>
          <w:sz w:val="32"/>
          <w:szCs w:val="40"/>
          <w:lang w:val="en-US" w:eastAsia="zh-CN"/>
        </w:rPr>
        <w:t>1．</w:t>
      </w:r>
      <w:bookmarkEnd w:id="20"/>
      <w:r>
        <w:rPr>
          <w:rFonts w:hint="eastAsia" w:ascii="仿宋_GB2312" w:hAnsi="仿宋_GB2312" w:eastAsia="仿宋_GB2312" w:cs="仿宋_GB2312"/>
          <w:b/>
          <w:bCs/>
          <w:color w:val="auto"/>
          <w:sz w:val="32"/>
          <w:szCs w:val="40"/>
          <w:lang w:val="en-US" w:eastAsia="zh-CN"/>
        </w:rPr>
        <w:t>场地问题：可供演出的剧场少，场馆租用成本高</w:t>
      </w:r>
      <w:bookmarkEnd w:id="21"/>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场地问题是文艺表演团体普遍反映的一个突出问题，民营团体的呼声尤为迫切。场地问题主要体现在以下三个方面：</w:t>
      </w:r>
    </w:p>
    <w:p>
      <w:pPr>
        <w:spacing w:line="520" w:lineRule="atLeast"/>
        <w:ind w:firstLine="643"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b/>
          <w:bCs/>
          <w:color w:val="auto"/>
          <w:sz w:val="32"/>
          <w:szCs w:val="40"/>
          <w:lang w:val="en-US" w:eastAsia="zh-CN"/>
        </w:rPr>
        <w:t>一是全省的剧场资源分布不平衡</w:t>
      </w:r>
      <w:r>
        <w:rPr>
          <w:rFonts w:hint="eastAsia" w:ascii="仿宋_GB2312" w:hAnsi="仿宋_GB2312" w:eastAsia="仿宋_GB2312" w:cs="仿宋_GB2312"/>
          <w:color w:val="auto"/>
          <w:sz w:val="32"/>
          <w:szCs w:val="40"/>
          <w:lang w:val="en-US" w:eastAsia="zh-CN"/>
        </w:rPr>
        <w:t>。根据课题组调研发现，很多演出团体反映四川的演出场馆分布不平衡，</w:t>
      </w:r>
      <w:r>
        <w:rPr>
          <w:rFonts w:hint="eastAsia" w:ascii="仿宋_GB2312" w:hAnsi="仿宋_GB2312" w:eastAsia="仿宋_GB2312" w:cs="仿宋_GB2312"/>
          <w:color w:val="auto"/>
          <w:sz w:val="32"/>
          <w:szCs w:val="40"/>
          <w:lang w:val="en-US" w:eastAsia="zh-Hans"/>
        </w:rPr>
        <w:t>雅安、巴中、甘孜、阿坝等地剧场少，仅有的剧场</w:t>
      </w:r>
      <w:r>
        <w:rPr>
          <w:rFonts w:hint="eastAsia" w:ascii="仿宋_GB2312" w:hAnsi="仿宋_GB2312" w:eastAsia="仿宋_GB2312" w:cs="仿宋_GB2312"/>
          <w:color w:val="auto"/>
          <w:sz w:val="32"/>
          <w:szCs w:val="40"/>
          <w:lang w:val="en-US" w:eastAsia="zh-CN"/>
        </w:rPr>
        <w:t>建筑</w:t>
      </w:r>
      <w:r>
        <w:rPr>
          <w:rFonts w:hint="eastAsia" w:ascii="仿宋_GB2312" w:hAnsi="仿宋_GB2312" w:eastAsia="仿宋_GB2312" w:cs="仿宋_GB2312"/>
          <w:color w:val="auto"/>
          <w:sz w:val="32"/>
          <w:szCs w:val="40"/>
          <w:lang w:val="en-US" w:eastAsia="zh-Hans"/>
        </w:rPr>
        <w:t>老旧，设施设备差</w:t>
      </w:r>
      <w:r>
        <w:rPr>
          <w:rFonts w:hint="eastAsia" w:ascii="仿宋_GB2312" w:hAnsi="仿宋_GB2312" w:eastAsia="仿宋_GB2312" w:cs="仿宋_GB2312"/>
          <w:color w:val="auto"/>
          <w:sz w:val="32"/>
          <w:szCs w:val="40"/>
          <w:lang w:val="en-US" w:eastAsia="zh-CN"/>
        </w:rPr>
        <w:t>。使得各类院团在制定和实施巡演计划时，不能将最新最火最受群众欢迎的演出项目下沉到全省各个市州，剧场资源的相关论述详见本报告第二章。同时，与国外以及国内发达地区相比，四川的剧场人均占有率以及普及率还不高，这使得很多演出团体在演出场所和自身发展方面都受到了不同层次的限制。</w:t>
      </w:r>
    </w:p>
    <w:p>
      <w:pPr>
        <w:pStyle w:val="2"/>
        <w:rPr>
          <w:rFonts w:hint="eastAsia" w:ascii="仿宋_GB2312" w:hAnsi="仿宋_GB2312" w:eastAsia="仿宋_GB2312" w:cs="仿宋_GB2312"/>
          <w:color w:val="auto"/>
          <w:sz w:val="32"/>
          <w:szCs w:val="40"/>
          <w:lang w:val="en-US" w:eastAsia="zh-CN"/>
        </w:rPr>
      </w:pPr>
    </w:p>
    <w:p>
      <w:pPr>
        <w:rPr>
          <w:rFonts w:hint="eastAsia"/>
          <w:lang w:val="en-US" w:eastAsia="zh-CN"/>
        </w:rPr>
      </w:pPr>
    </w:p>
    <w:p>
      <w:pPr>
        <w:pStyle w:val="18"/>
        <w:spacing w:after="156" w:afterLines="50"/>
        <w:ind w:left="419" w:hanging="62"/>
        <w:jc w:val="center"/>
        <w:rPr>
          <w:rStyle w:val="19"/>
          <w:rFonts w:hint="eastAsia" w:ascii="华文中宋" w:hAnsi="华文中宋" w:eastAsia="华文中宋"/>
        </w:rPr>
      </w:pPr>
      <w:r>
        <w:rPr>
          <w:rStyle w:val="19"/>
          <w:rFonts w:hint="eastAsia" w:ascii="华文中宋" w:hAnsi="华文中宋" w:eastAsia="华文中宋"/>
        </w:rPr>
        <w:t>图表</w:t>
      </w:r>
      <w:r>
        <w:rPr>
          <w:rStyle w:val="19"/>
          <w:rFonts w:hint="eastAsia" w:ascii="华文中宋" w:hAnsi="华文中宋" w:eastAsia="华文中宋"/>
          <w:lang w:val="en-US" w:eastAsia="zh-CN"/>
        </w:rPr>
        <w:t>5</w:t>
      </w:r>
      <w:r>
        <w:rPr>
          <w:rStyle w:val="19"/>
          <w:rFonts w:hint="eastAsia" w:ascii="华文中宋" w:hAnsi="华文中宋" w:eastAsia="华文中宋"/>
        </w:rPr>
        <w:t>-</w:t>
      </w:r>
      <w:r>
        <w:rPr>
          <w:rStyle w:val="19"/>
          <w:rFonts w:hint="eastAsia" w:ascii="华文中宋" w:hAnsi="华文中宋" w:eastAsia="华文中宋"/>
          <w:lang w:val="en-US" w:eastAsia="zh-CN"/>
        </w:rPr>
        <w:t xml:space="preserve">9 </w:t>
      </w:r>
      <w:r>
        <w:rPr>
          <w:rStyle w:val="19"/>
          <w:rFonts w:hint="eastAsia" w:ascii="华文中宋" w:hAnsi="华文中宋" w:eastAsia="华文中宋"/>
        </w:rPr>
        <w:t xml:space="preserve"> </w:t>
      </w:r>
      <w:r>
        <w:rPr>
          <w:rStyle w:val="19"/>
          <w:rFonts w:hint="eastAsia" w:ascii="华文中宋" w:hAnsi="华文中宋" w:eastAsia="华文中宋"/>
          <w:lang w:val="en-US" w:eastAsia="zh-CN"/>
        </w:rPr>
        <w:t>成都</w:t>
      </w:r>
      <w:r>
        <w:rPr>
          <w:rStyle w:val="19"/>
          <w:rFonts w:hint="eastAsia" w:ascii="华文中宋" w:hAnsi="华文中宋" w:eastAsia="华文中宋"/>
        </w:rPr>
        <w:t>与伦敦、纽约演出场馆对比</w:t>
      </w:r>
    </w:p>
    <w:tbl>
      <w:tblPr>
        <w:tblStyle w:val="13"/>
        <w:tblW w:w="84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2424"/>
        <w:gridCol w:w="2257"/>
        <w:gridCol w:w="2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120"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城市</w:t>
            </w:r>
          </w:p>
        </w:tc>
        <w:tc>
          <w:tcPr>
            <w:tcW w:w="2424"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lang w:val="en-US" w:eastAsia="zh-CN"/>
              </w:rPr>
              <w:t>常住</w:t>
            </w:r>
            <w:r>
              <w:rPr>
                <w:rFonts w:hint="eastAsia" w:ascii="华文中宋" w:hAnsi="华文中宋" w:eastAsia="华文中宋"/>
                <w:b/>
                <w:sz w:val="18"/>
                <w:szCs w:val="18"/>
              </w:rPr>
              <w:t>人口</w:t>
            </w:r>
          </w:p>
        </w:tc>
        <w:tc>
          <w:tcPr>
            <w:tcW w:w="2257"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rPr>
              <w:t>剧场数量</w:t>
            </w:r>
          </w:p>
        </w:tc>
        <w:tc>
          <w:tcPr>
            <w:tcW w:w="2619" w:type="dxa"/>
            <w:shd w:val="clear" w:color="auto" w:fill="C0C0C0"/>
            <w:noWrap w:val="0"/>
            <w:vAlign w:val="center"/>
          </w:tcPr>
          <w:p>
            <w:pPr>
              <w:spacing w:line="0" w:lineRule="atLeast"/>
              <w:jc w:val="center"/>
              <w:rPr>
                <w:rFonts w:hint="eastAsia" w:ascii="华文中宋" w:hAnsi="华文中宋" w:eastAsia="华文中宋"/>
                <w:b/>
                <w:sz w:val="18"/>
                <w:szCs w:val="18"/>
              </w:rPr>
            </w:pPr>
            <w:r>
              <w:rPr>
                <w:rFonts w:hint="eastAsia" w:ascii="华文中宋" w:hAnsi="华文中宋" w:eastAsia="华文中宋"/>
                <w:b/>
                <w:sz w:val="18"/>
                <w:szCs w:val="18"/>
                <w:lang w:val="en-US" w:eastAsia="zh-CN"/>
              </w:rPr>
              <w:t>每万</w:t>
            </w:r>
            <w:r>
              <w:rPr>
                <w:rFonts w:hint="eastAsia" w:ascii="华文中宋" w:hAnsi="华文中宋" w:eastAsia="华文中宋"/>
                <w:b/>
                <w:sz w:val="18"/>
                <w:szCs w:val="18"/>
              </w:rPr>
              <w:t>人均剧场数量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伦敦</w:t>
            </w:r>
          </w:p>
        </w:tc>
        <w:tc>
          <w:tcPr>
            <w:tcW w:w="2424"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lang w:val="en-US" w:eastAsia="zh-CN"/>
              </w:rPr>
              <w:t>942</w:t>
            </w:r>
            <w:r>
              <w:rPr>
                <w:rFonts w:hint="eastAsia" w:ascii="华文中宋" w:hAnsi="华文中宋" w:eastAsia="华文中宋"/>
                <w:sz w:val="18"/>
                <w:szCs w:val="18"/>
              </w:rPr>
              <w:t>万</w:t>
            </w:r>
          </w:p>
        </w:tc>
        <w:tc>
          <w:tcPr>
            <w:tcW w:w="2257"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1100个</w:t>
            </w:r>
          </w:p>
        </w:tc>
        <w:tc>
          <w:tcPr>
            <w:tcW w:w="2619"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每万人拥有1.</w:t>
            </w:r>
            <w:r>
              <w:rPr>
                <w:rFonts w:hint="eastAsia" w:ascii="华文中宋" w:hAnsi="华文中宋" w:eastAsia="华文中宋"/>
                <w:sz w:val="18"/>
                <w:szCs w:val="18"/>
                <w:lang w:val="en-US" w:eastAsia="zh-CN"/>
              </w:rPr>
              <w:t>16</w:t>
            </w:r>
            <w:r>
              <w:rPr>
                <w:rFonts w:hint="eastAsia" w:ascii="华文中宋" w:hAnsi="华文中宋" w:eastAsia="华文中宋"/>
                <w:sz w:val="18"/>
                <w:szCs w:val="18"/>
              </w:rPr>
              <w:t>个剧场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0"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纽约</w:t>
            </w:r>
          </w:p>
        </w:tc>
        <w:tc>
          <w:tcPr>
            <w:tcW w:w="2424"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lang w:val="en-US" w:eastAsia="zh-CN"/>
              </w:rPr>
              <w:t>839</w:t>
            </w:r>
            <w:r>
              <w:rPr>
                <w:rFonts w:hint="eastAsia" w:ascii="华文中宋" w:hAnsi="华文中宋" w:eastAsia="华文中宋"/>
                <w:sz w:val="18"/>
                <w:szCs w:val="18"/>
              </w:rPr>
              <w:t>万</w:t>
            </w:r>
          </w:p>
        </w:tc>
        <w:tc>
          <w:tcPr>
            <w:tcW w:w="2257"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1000多个</w:t>
            </w:r>
          </w:p>
        </w:tc>
        <w:tc>
          <w:tcPr>
            <w:tcW w:w="2619" w:type="dxa"/>
            <w:noWrap w:val="0"/>
            <w:vAlign w:val="center"/>
          </w:tcPr>
          <w:p>
            <w:pPr>
              <w:spacing w:line="0" w:lineRule="atLeast"/>
              <w:rPr>
                <w:rFonts w:hint="eastAsia" w:ascii="华文中宋" w:hAnsi="华文中宋" w:eastAsia="华文中宋"/>
                <w:sz w:val="18"/>
                <w:szCs w:val="18"/>
              </w:rPr>
            </w:pPr>
            <w:r>
              <w:rPr>
                <w:rFonts w:hint="eastAsia" w:ascii="华文中宋" w:hAnsi="华文中宋" w:eastAsia="华文中宋"/>
                <w:sz w:val="18"/>
                <w:szCs w:val="18"/>
              </w:rPr>
              <w:t>每万人拥有</w:t>
            </w:r>
            <w:r>
              <w:rPr>
                <w:rFonts w:hint="eastAsia" w:ascii="华文中宋" w:hAnsi="华文中宋" w:eastAsia="华文中宋"/>
                <w:sz w:val="18"/>
                <w:szCs w:val="18"/>
                <w:lang w:val="en-US" w:eastAsia="zh-CN"/>
              </w:rPr>
              <w:t>1.19</w:t>
            </w:r>
            <w:r>
              <w:rPr>
                <w:rFonts w:hint="eastAsia" w:ascii="华文中宋" w:hAnsi="华文中宋" w:eastAsia="华文中宋"/>
                <w:sz w:val="18"/>
                <w:szCs w:val="18"/>
              </w:rPr>
              <w:t>个剧场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0" w:type="dxa"/>
            <w:noWrap w:val="0"/>
            <w:vAlign w:val="center"/>
          </w:tcPr>
          <w:p>
            <w:pPr>
              <w:spacing w:line="0" w:lineRule="atLeast"/>
              <w:rPr>
                <w:rFonts w:hint="eastAsia" w:ascii="华文中宋" w:hAnsi="华文中宋" w:eastAsia="华文中宋"/>
                <w:sz w:val="18"/>
                <w:szCs w:val="18"/>
                <w:highlight w:val="none"/>
                <w:lang w:eastAsia="zh-CN"/>
              </w:rPr>
            </w:pPr>
            <w:r>
              <w:rPr>
                <w:rFonts w:hint="eastAsia" w:ascii="华文中宋" w:hAnsi="华文中宋" w:eastAsia="华文中宋"/>
                <w:sz w:val="18"/>
                <w:szCs w:val="18"/>
                <w:highlight w:val="none"/>
                <w:lang w:val="en-US" w:eastAsia="zh-CN"/>
              </w:rPr>
              <w:t>成都</w:t>
            </w:r>
          </w:p>
        </w:tc>
        <w:tc>
          <w:tcPr>
            <w:tcW w:w="2424" w:type="dxa"/>
            <w:noWrap w:val="0"/>
            <w:vAlign w:val="center"/>
          </w:tcPr>
          <w:p>
            <w:pPr>
              <w:spacing w:line="0" w:lineRule="atLeast"/>
              <w:rPr>
                <w:rFonts w:hint="eastAsia" w:ascii="华文中宋" w:hAnsi="华文中宋" w:eastAsia="华文中宋"/>
                <w:sz w:val="18"/>
                <w:szCs w:val="18"/>
                <w:highlight w:val="none"/>
              </w:rPr>
            </w:pPr>
            <w:r>
              <w:rPr>
                <w:rFonts w:hint="eastAsia" w:ascii="华文中宋" w:hAnsi="华文中宋" w:eastAsia="华文中宋"/>
                <w:sz w:val="18"/>
                <w:szCs w:val="18"/>
                <w:highlight w:val="none"/>
                <w:lang w:val="en-US" w:eastAsia="zh-CN"/>
              </w:rPr>
              <w:t>2119</w:t>
            </w:r>
            <w:r>
              <w:rPr>
                <w:rFonts w:hint="eastAsia" w:ascii="华文中宋" w:hAnsi="华文中宋" w:eastAsia="华文中宋"/>
                <w:sz w:val="18"/>
                <w:szCs w:val="18"/>
                <w:highlight w:val="none"/>
              </w:rPr>
              <w:t>万</w:t>
            </w:r>
            <w:r>
              <w:rPr>
                <w:rStyle w:val="16"/>
                <w:rFonts w:ascii="华文中宋" w:hAnsi="华文中宋" w:eastAsia="华文中宋"/>
                <w:sz w:val="18"/>
                <w:szCs w:val="18"/>
                <w:highlight w:val="none"/>
              </w:rPr>
              <w:footnoteReference w:id="0"/>
            </w:r>
          </w:p>
        </w:tc>
        <w:tc>
          <w:tcPr>
            <w:tcW w:w="2257" w:type="dxa"/>
            <w:noWrap w:val="0"/>
            <w:vAlign w:val="center"/>
          </w:tcPr>
          <w:p>
            <w:pPr>
              <w:spacing w:line="0" w:lineRule="atLeast"/>
              <w:rPr>
                <w:rFonts w:hint="default" w:ascii="华文中宋" w:hAnsi="华文中宋" w:eastAsia="华文中宋"/>
                <w:sz w:val="18"/>
                <w:szCs w:val="18"/>
                <w:highlight w:val="none"/>
                <w:lang w:val="en-US" w:eastAsia="zh-CN"/>
              </w:rPr>
            </w:pPr>
            <w:r>
              <w:rPr>
                <w:rFonts w:hint="eastAsia" w:ascii="华文中宋" w:hAnsi="华文中宋" w:eastAsia="华文中宋"/>
                <w:sz w:val="18"/>
                <w:szCs w:val="18"/>
                <w:highlight w:val="none"/>
                <w:lang w:val="en-US" w:eastAsia="zh-CN"/>
              </w:rPr>
              <w:t>70个</w:t>
            </w:r>
          </w:p>
        </w:tc>
        <w:tc>
          <w:tcPr>
            <w:tcW w:w="2619" w:type="dxa"/>
            <w:noWrap w:val="0"/>
            <w:vAlign w:val="center"/>
          </w:tcPr>
          <w:p>
            <w:pPr>
              <w:spacing w:line="0" w:lineRule="atLeast"/>
              <w:rPr>
                <w:rFonts w:hint="eastAsia" w:ascii="华文中宋" w:hAnsi="华文中宋" w:eastAsia="华文中宋"/>
                <w:sz w:val="18"/>
                <w:szCs w:val="18"/>
                <w:highlight w:val="none"/>
              </w:rPr>
            </w:pPr>
            <w:r>
              <w:rPr>
                <w:rFonts w:hint="eastAsia" w:ascii="华文中宋" w:hAnsi="华文中宋" w:eastAsia="华文中宋"/>
                <w:sz w:val="18"/>
                <w:szCs w:val="18"/>
                <w:highlight w:val="none"/>
              </w:rPr>
              <w:t>每万人拥有</w:t>
            </w:r>
            <w:r>
              <w:rPr>
                <w:rFonts w:hint="eastAsia" w:ascii="华文中宋" w:hAnsi="华文中宋" w:eastAsia="华文中宋"/>
                <w:sz w:val="18"/>
                <w:szCs w:val="18"/>
                <w:highlight w:val="none"/>
                <w:lang w:val="en-US" w:eastAsia="zh-CN"/>
              </w:rPr>
              <w:t xml:space="preserve">0.03 </w:t>
            </w:r>
            <w:r>
              <w:rPr>
                <w:rFonts w:hint="eastAsia" w:ascii="华文中宋" w:hAnsi="华文中宋" w:eastAsia="华文中宋"/>
                <w:sz w:val="18"/>
                <w:szCs w:val="18"/>
                <w:highlight w:val="none"/>
              </w:rPr>
              <w:t>个剧场</w:t>
            </w:r>
          </w:p>
        </w:tc>
      </w:tr>
    </w:tbl>
    <w:p>
      <w:pPr>
        <w:spacing w:line="520" w:lineRule="atLeast"/>
        <w:ind w:firstLine="420" w:firstLineChars="200"/>
        <w:jc w:val="left"/>
      </w:pPr>
      <w:r>
        <w:drawing>
          <wp:inline distT="0" distB="0" distL="114300" distR="114300">
            <wp:extent cx="5046980" cy="2762885"/>
            <wp:effectExtent l="4445" t="4445" r="15875" b="13970"/>
            <wp:docPr id="31"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line="520" w:lineRule="atLeast"/>
        <w:ind w:firstLine="420" w:firstLineChars="200"/>
        <w:jc w:val="center"/>
      </w:pPr>
      <w:r>
        <w:rPr>
          <w:rStyle w:val="19"/>
          <w:rFonts w:hint="eastAsia" w:ascii="华文中宋" w:hAnsi="华文中宋" w:eastAsia="华文中宋"/>
        </w:rPr>
        <w:t>图表</w:t>
      </w:r>
      <w:r>
        <w:rPr>
          <w:rStyle w:val="19"/>
          <w:rFonts w:hint="eastAsia" w:ascii="华文中宋" w:hAnsi="华文中宋" w:eastAsia="华文中宋"/>
          <w:lang w:val="en-US" w:eastAsia="zh-CN"/>
        </w:rPr>
        <w:t>5</w:t>
      </w:r>
      <w:r>
        <w:rPr>
          <w:rStyle w:val="19"/>
          <w:rFonts w:hint="eastAsia" w:ascii="华文中宋" w:hAnsi="华文中宋" w:eastAsia="华文中宋"/>
        </w:rPr>
        <w:t>-</w:t>
      </w:r>
      <w:r>
        <w:rPr>
          <w:rStyle w:val="19"/>
          <w:rFonts w:hint="eastAsia" w:ascii="华文中宋" w:hAnsi="华文中宋" w:eastAsia="华文中宋"/>
          <w:lang w:val="en-US" w:eastAsia="zh-CN"/>
        </w:rPr>
        <w:t>10</w:t>
      </w:r>
      <w:r>
        <w:rPr>
          <w:rStyle w:val="19"/>
          <w:rFonts w:hint="eastAsia" w:ascii="华文中宋" w:hAnsi="华文中宋" w:eastAsia="华文中宋"/>
        </w:rPr>
        <w:t xml:space="preserve"> </w:t>
      </w:r>
      <w:r>
        <w:rPr>
          <w:rStyle w:val="19"/>
          <w:rFonts w:hint="eastAsia" w:ascii="华文中宋" w:hAnsi="华文中宋" w:eastAsia="华文中宋"/>
          <w:lang w:val="en-US" w:eastAsia="zh-CN"/>
        </w:rPr>
        <w:t xml:space="preserve"> </w:t>
      </w:r>
      <w:r>
        <w:rPr>
          <w:rStyle w:val="19"/>
          <w:rFonts w:hint="eastAsia" w:ascii="华文中宋" w:hAnsi="华文中宋" w:eastAsia="华文中宋"/>
        </w:rPr>
        <w:t xml:space="preserve"> </w:t>
      </w:r>
      <w:r>
        <w:rPr>
          <w:rStyle w:val="19"/>
          <w:rFonts w:hint="eastAsia" w:ascii="华文中宋" w:hAnsi="华文中宋" w:eastAsia="华文中宋"/>
          <w:lang w:val="en-US" w:eastAsia="zh-CN"/>
        </w:rPr>
        <w:t>成都</w:t>
      </w:r>
      <w:r>
        <w:rPr>
          <w:rStyle w:val="19"/>
          <w:rFonts w:hint="eastAsia" w:ascii="华文中宋" w:hAnsi="华文中宋" w:eastAsia="华文中宋"/>
        </w:rPr>
        <w:t>与伦敦、纽约</w:t>
      </w:r>
      <w:r>
        <w:rPr>
          <w:rStyle w:val="19"/>
          <w:rFonts w:hint="eastAsia" w:ascii="华文中宋" w:hAnsi="华文中宋" w:eastAsia="华文中宋"/>
          <w:lang w:val="en-US" w:eastAsia="zh-CN"/>
        </w:rPr>
        <w:t>每万人均</w:t>
      </w:r>
      <w:r>
        <w:rPr>
          <w:rStyle w:val="19"/>
          <w:rFonts w:hint="eastAsia" w:ascii="华文中宋" w:hAnsi="华文中宋" w:eastAsia="华文中宋"/>
        </w:rPr>
        <w:t>演出场馆对比</w:t>
      </w:r>
    </w:p>
    <w:p>
      <w:pPr>
        <w:pStyle w:val="2"/>
        <w:rPr>
          <w:rFonts w:hint="eastAsia"/>
          <w:lang w:val="en-US" w:eastAsia="zh-CN"/>
        </w:rPr>
      </w:pPr>
    </w:p>
    <w:p>
      <w:pPr>
        <w:spacing w:line="520" w:lineRule="atLeast"/>
        <w:ind w:firstLine="643" w:firstLineChars="200"/>
        <w:jc w:val="left"/>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b/>
          <w:bCs/>
          <w:color w:val="auto"/>
          <w:sz w:val="32"/>
          <w:szCs w:val="40"/>
          <w:lang w:val="en-US" w:eastAsia="zh-CN"/>
        </w:rPr>
        <w:t>二是场租价格高。</w:t>
      </w:r>
      <w:r>
        <w:rPr>
          <w:rFonts w:hint="eastAsia" w:ascii="仿宋_GB2312" w:hAnsi="仿宋_GB2312" w:eastAsia="仿宋_GB2312" w:cs="仿宋_GB2312"/>
          <w:color w:val="auto"/>
          <w:sz w:val="32"/>
          <w:szCs w:val="40"/>
          <w:lang w:val="en-US" w:eastAsia="zh-CN"/>
        </w:rPr>
        <w:t>很多演出团体反映成都的演出场馆的场租过高，使得剧团进场馆演出的成本颇高，像大型剧院一场演出的场租都在10-16万之间，在满座的情况下，平均每张演出门票要在</w:t>
      </w:r>
      <w:r>
        <w:rPr>
          <w:rFonts w:hint="eastAsia" w:ascii="仿宋_GB2312" w:hAnsi="仿宋_GB2312" w:eastAsia="仿宋_GB2312" w:cs="仿宋_GB2312"/>
          <w:color w:val="auto"/>
          <w:sz w:val="32"/>
          <w:szCs w:val="40"/>
          <w:highlight w:val="none"/>
          <w:lang w:val="en-US" w:eastAsia="zh-CN"/>
        </w:rPr>
        <w:t>400元</w:t>
      </w:r>
      <w:r>
        <w:rPr>
          <w:rFonts w:hint="eastAsia" w:ascii="仿宋_GB2312" w:hAnsi="仿宋_GB2312" w:eastAsia="仿宋_GB2312" w:cs="仿宋_GB2312"/>
          <w:color w:val="auto"/>
          <w:sz w:val="32"/>
          <w:szCs w:val="40"/>
          <w:lang w:val="en-US" w:eastAsia="zh-CN"/>
        </w:rPr>
        <w:t>以上才能收回成本，不是一般的民营演出团体所能承受的。</w:t>
      </w:r>
    </w:p>
    <w:p>
      <w:pPr>
        <w:spacing w:line="520" w:lineRule="atLeast"/>
        <w:ind w:firstLine="643" w:firstLineChars="200"/>
        <w:jc w:val="left"/>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b/>
          <w:bCs/>
          <w:color w:val="auto"/>
          <w:sz w:val="32"/>
          <w:szCs w:val="40"/>
          <w:lang w:val="en-US" w:eastAsia="zh-CN"/>
        </w:rPr>
        <w:t>三是民营团体与场馆的合作处于弱势</w:t>
      </w:r>
      <w:r>
        <w:rPr>
          <w:rFonts w:hint="eastAsia" w:ascii="仿宋_GB2312" w:hAnsi="仿宋_GB2312" w:eastAsia="仿宋_GB2312" w:cs="仿宋_GB2312"/>
          <w:color w:val="auto"/>
          <w:sz w:val="32"/>
          <w:szCs w:val="40"/>
          <w:lang w:val="en-US" w:eastAsia="zh-CN"/>
        </w:rPr>
        <w:t>。部分演出团体反映在与剧场的关系上，剧场占据主动权，剧团处于弱势，非常被动，演出团体在与剧场的合作特别困难。</w:t>
      </w:r>
    </w:p>
    <w:p>
      <w:pPr>
        <w:spacing w:line="520" w:lineRule="atLeast"/>
        <w:ind w:firstLine="643" w:firstLineChars="200"/>
        <w:jc w:val="left"/>
        <w:rPr>
          <w:rFonts w:hint="eastAsia" w:ascii="仿宋_GB2312" w:hAnsi="仿宋_GB2312" w:eastAsia="仿宋_GB2312" w:cs="仿宋_GB2312"/>
          <w:b/>
          <w:bCs/>
          <w:color w:val="auto"/>
          <w:sz w:val="32"/>
          <w:szCs w:val="40"/>
          <w:lang w:val="en-US" w:eastAsia="zh-CN"/>
        </w:rPr>
      </w:pPr>
      <w:bookmarkStart w:id="22" w:name="_Toc213754298"/>
      <w:bookmarkStart w:id="23" w:name="_Toc245558603"/>
      <w:r>
        <w:rPr>
          <w:rFonts w:hint="eastAsia" w:ascii="仿宋_GB2312" w:hAnsi="仿宋_GB2312" w:eastAsia="仿宋_GB2312" w:cs="仿宋_GB2312"/>
          <w:b/>
          <w:bCs/>
          <w:color w:val="auto"/>
          <w:sz w:val="32"/>
          <w:szCs w:val="40"/>
          <w:lang w:val="en-US" w:eastAsia="zh-CN"/>
        </w:rPr>
        <w:t>2．</w:t>
      </w:r>
      <w:bookmarkEnd w:id="22"/>
      <w:r>
        <w:rPr>
          <w:rFonts w:hint="eastAsia" w:ascii="仿宋_GB2312" w:hAnsi="仿宋_GB2312" w:eastAsia="仿宋_GB2312" w:cs="仿宋_GB2312"/>
          <w:b/>
          <w:bCs/>
          <w:color w:val="auto"/>
          <w:sz w:val="32"/>
          <w:szCs w:val="40"/>
          <w:lang w:val="en-US" w:eastAsia="zh-CN"/>
        </w:rPr>
        <w:t>资金问题：民营团体普遍缺乏资金，国有团体也有资金需求</w:t>
      </w:r>
      <w:bookmarkEnd w:id="23"/>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四川文艺表演团体，特别是民营团体普遍反映由于资金的缺乏，市场的拓展和创作受到限制。资金问题已成为制约表演团体发展壮大的一个瓶颈，民营团体资金短缺主要表现在：一是资金缺乏造成剧团创作力量薄弱，由于缺少资金，众多的剧团无法进行剧目创作和编排；二是融资困难，民营团体贷款比较困难，受到很多限制；三是运营困难，很多剧团的剧目因为缺少资金而无法进行演出。</w:t>
      </w:r>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同时，国有团体也有资金需求，如部分国有院团也反映在资金投入上存在问题，希望能获得大额资金的支持。目前剧团的资金来源,民营主要靠票房收入，国有依靠政府拨款和票房收入，这种单一的资金来源制约了剧团的发展壮大。</w:t>
      </w:r>
    </w:p>
    <w:p>
      <w:pPr>
        <w:spacing w:after="156" w:afterLines="50"/>
        <w:jc w:val="center"/>
        <w:rPr>
          <w:rStyle w:val="19"/>
          <w:rFonts w:hint="eastAsia" w:ascii="华文中宋" w:hAnsi="华文中宋" w:eastAsia="华文中宋"/>
        </w:rPr>
      </w:pPr>
    </w:p>
    <w:p>
      <w:pPr>
        <w:spacing w:after="156" w:afterLines="50"/>
        <w:jc w:val="center"/>
        <w:rPr>
          <w:rFonts w:ascii="华文中宋" w:hAnsi="华文中宋" w:eastAsia="华文中宋"/>
        </w:rPr>
      </w:pPr>
      <w:r>
        <w:rPr>
          <w:rFonts w:ascii="华文中宋" w:hAnsi="华文中宋" w:eastAsia="华文中宋"/>
        </w:rPr>
        <w:object>
          <v:shape id="_x0000_i1025" o:spt="75" type="#_x0000_t75" style="height:177.1pt;width:303.1pt;" o:ole="t" filled="f" o:preferrelative="f" stroked="f" coordsize="21600,21600">
            <v:path/>
            <v:fill on="f" alignshape="1" focussize="0,0"/>
            <v:stroke on="f"/>
            <v:imagedata r:id="rId33" o:title=""/>
            <o:lock v:ext="edit" aspectratio="f"/>
            <w10:wrap type="none"/>
            <w10:anchorlock/>
          </v:shape>
          <o:OLEObject Type="Embed" ProgID="MSGraph.Chart.8" ShapeID="_x0000_i1025" DrawAspect="Content" ObjectID="_1468075726" r:id="rId32">
            <o:LockedField>false</o:LockedField>
          </o:OLEObject>
        </w:object>
      </w:r>
    </w:p>
    <w:p>
      <w:pPr>
        <w:spacing w:after="156" w:afterLines="50"/>
        <w:jc w:val="center"/>
        <w:rPr>
          <w:rFonts w:hint="eastAsia"/>
        </w:rPr>
      </w:pPr>
      <w:r>
        <w:rPr>
          <w:rStyle w:val="19"/>
          <w:rFonts w:hint="eastAsia" w:ascii="华文中宋" w:hAnsi="华文中宋" w:eastAsia="华文中宋"/>
        </w:rPr>
        <w:t>图表</w:t>
      </w:r>
      <w:r>
        <w:rPr>
          <w:rStyle w:val="19"/>
          <w:rFonts w:hint="eastAsia" w:ascii="华文中宋" w:hAnsi="华文中宋" w:eastAsia="华文中宋"/>
          <w:lang w:val="en-US" w:eastAsia="zh-CN"/>
        </w:rPr>
        <w:t>5</w:t>
      </w:r>
      <w:r>
        <w:rPr>
          <w:rStyle w:val="19"/>
          <w:rFonts w:hint="eastAsia" w:ascii="华文中宋" w:hAnsi="华文中宋" w:eastAsia="华文中宋"/>
        </w:rPr>
        <w:t>-1</w:t>
      </w:r>
      <w:r>
        <w:rPr>
          <w:rStyle w:val="19"/>
          <w:rFonts w:hint="eastAsia" w:ascii="华文中宋" w:hAnsi="华文中宋" w:eastAsia="华文中宋"/>
          <w:lang w:val="en-US" w:eastAsia="zh-CN"/>
        </w:rPr>
        <w:t>1</w:t>
      </w:r>
      <w:r>
        <w:rPr>
          <w:rStyle w:val="19"/>
          <w:rFonts w:hint="eastAsia" w:ascii="华文中宋" w:hAnsi="华文中宋" w:eastAsia="华文中宋"/>
        </w:rPr>
        <w:t xml:space="preserve"> </w:t>
      </w:r>
      <w:r>
        <w:rPr>
          <w:rStyle w:val="19"/>
          <w:rFonts w:hint="eastAsia" w:ascii="华文中宋" w:hAnsi="华文中宋" w:eastAsia="华文中宋"/>
          <w:lang w:val="en-US" w:eastAsia="zh-CN"/>
        </w:rPr>
        <w:t xml:space="preserve"> </w:t>
      </w:r>
      <w:r>
        <w:rPr>
          <w:rStyle w:val="19"/>
          <w:rFonts w:hint="eastAsia" w:ascii="华文中宋" w:hAnsi="华文中宋" w:eastAsia="华文中宋"/>
        </w:rPr>
        <w:t>肯尼迪表演艺术中心资金来源</w:t>
      </w:r>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相比之下，西方国家剧团的资金来源就十分广泛，如英国戏剧从业者的演出资金一般由国家资助1/3，基金会赞助1/3，票房收入1/3。美国的非盈利剧团的资金来源，赞助是一个主要方面。美国有社会捐助的传统，这也和政府的税收政策有关，捐款可以享受减免税的待遇。另外，当地的公司和富裕阶层也普遍有一种支持当地文化艺术发展的责任感。</w:t>
      </w:r>
    </w:p>
    <w:p>
      <w:pPr>
        <w:spacing w:line="520" w:lineRule="atLeast"/>
        <w:ind w:firstLine="643" w:firstLineChars="200"/>
        <w:jc w:val="both"/>
        <w:rPr>
          <w:rFonts w:hint="default" w:ascii="仿宋_GB2312" w:hAnsi="仿宋_GB2312" w:eastAsia="仿宋_GB2312" w:cs="仿宋_GB2312"/>
          <w:b/>
          <w:bCs/>
          <w:color w:val="auto"/>
          <w:sz w:val="32"/>
          <w:szCs w:val="40"/>
          <w:lang w:val="en-US" w:eastAsia="zh-CN"/>
        </w:rPr>
      </w:pPr>
      <w:bookmarkStart w:id="24" w:name="_Toc245558604"/>
      <w:r>
        <w:rPr>
          <w:rFonts w:hint="eastAsia" w:ascii="仿宋_GB2312" w:hAnsi="仿宋_GB2312" w:eastAsia="仿宋_GB2312" w:cs="仿宋_GB2312"/>
          <w:b/>
          <w:bCs/>
          <w:color w:val="auto"/>
          <w:sz w:val="32"/>
          <w:szCs w:val="40"/>
          <w:lang w:val="en-US" w:eastAsia="zh-CN"/>
        </w:rPr>
        <w:t>3．创作问题：优质作品数量不多，</w:t>
      </w:r>
      <w:bookmarkEnd w:id="24"/>
      <w:r>
        <w:rPr>
          <w:rFonts w:hint="eastAsia" w:ascii="仿宋_GB2312" w:hAnsi="仿宋_GB2312" w:eastAsia="仿宋_GB2312" w:cs="仿宋_GB2312"/>
          <w:b/>
          <w:bCs/>
          <w:color w:val="auto"/>
          <w:sz w:val="32"/>
          <w:szCs w:val="40"/>
          <w:lang w:val="en-US" w:eastAsia="zh-CN"/>
        </w:rPr>
        <w:t>艺术生产创新低迷</w:t>
      </w:r>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在剧目的创作方面，优秀编剧人才流失是一个不容忽视的问题。国有团体有较强的创作班底，他们的作品一般制作精良、演出精彩，但新创剧目还是偏少，在话剧、川剧、音乐剧等方面，传统剧目和国外经典剧目的演出占据了很大的比例。民营剧团在话剧的创作方面比较活跃，但是高质量的作品不多，概念化和简单化的现象比较突出。有些剧目缺乏对生活的深入挖掘，内容多庸俗、搞笑，文艺作品的思想教育功能让位于娱乐消遣。这种创作的状况显然不利于演出团体和演出市场的健康、长远发展。</w:t>
      </w:r>
    </w:p>
    <w:p>
      <w:pPr>
        <w:spacing w:line="520" w:lineRule="atLeast"/>
        <w:ind w:firstLine="640" w:firstLineChars="200"/>
        <w:jc w:val="both"/>
        <w:rPr>
          <w:rFonts w:hint="eastAsia" w:ascii="华文中宋" w:hAnsi="华文中宋" w:eastAsia="华文中宋"/>
        </w:rPr>
      </w:pPr>
      <w:r>
        <w:rPr>
          <w:rFonts w:hint="eastAsia" w:ascii="仿宋_GB2312" w:hAnsi="仿宋_GB2312" w:eastAsia="仿宋_GB2312" w:cs="仿宋_GB2312"/>
          <w:color w:val="auto"/>
          <w:sz w:val="32"/>
          <w:szCs w:val="40"/>
          <w:lang w:val="en-US" w:eastAsia="zh-CN"/>
        </w:rPr>
        <w:t>究其原因，第一是创作成本高，创作面临资金上的瓶颈。创作一台新的剧目动辄在百万元以上，这样高昂的创作费用对于国有剧团来说可能算不了什么，但是对于“自力更生”的民营剧团来说就是一个比较大的问题。第二是部分剧团在创作上缺乏严肃的态度，缺乏品牌意识，以“恶搞”为手段追求戏剧“娱乐快餐”，节目粗制滥造，以短平快为手段占领演出市场。第三是缺乏好的激励机制，导致剧目创作人才的流失。我国虽然有不少文艺奖项，但评奖过程大多是政府主导，而且大多偏向于国有团体，在观众的参与度、公平性等方面还有所欠缺。如美国的托尼奖在推出戏剧新人、鼓励优秀创作和扩大美国戏剧影响等方面发挥了重要的作用。第四是受影视行业的冲击。相比戏剧、话剧等舞台表演艺术，电影、电视演出业收入高，导致好编剧、好演员纷纷投靠影视，分流了一部分优秀的演出人才。</w:t>
      </w:r>
    </w:p>
    <w:p>
      <w:pPr>
        <w:spacing w:line="520" w:lineRule="atLeast"/>
        <w:ind w:firstLine="643" w:firstLineChars="200"/>
        <w:jc w:val="both"/>
        <w:rPr>
          <w:rFonts w:hint="eastAsia" w:ascii="仿宋_GB2312" w:hAnsi="仿宋_GB2312" w:eastAsia="仿宋_GB2312" w:cs="仿宋_GB2312"/>
          <w:b/>
          <w:bCs/>
          <w:color w:val="auto"/>
          <w:sz w:val="32"/>
          <w:szCs w:val="40"/>
          <w:lang w:val="en-US" w:eastAsia="zh-CN"/>
        </w:rPr>
      </w:pPr>
      <w:bookmarkStart w:id="25" w:name="_Toc245558605"/>
      <w:r>
        <w:rPr>
          <w:rFonts w:hint="eastAsia" w:ascii="仿宋_GB2312" w:hAnsi="仿宋_GB2312" w:eastAsia="仿宋_GB2312" w:cs="仿宋_GB2312"/>
          <w:b/>
          <w:bCs/>
          <w:color w:val="auto"/>
          <w:sz w:val="32"/>
          <w:szCs w:val="40"/>
          <w:lang w:val="en-US" w:eastAsia="zh-CN"/>
        </w:rPr>
        <w:t>4．人才问题：缺乏优秀的管理人才，人才流失严重</w:t>
      </w:r>
      <w:bookmarkEnd w:id="25"/>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文艺表演团体普遍面临的困难局面不是由于缺乏优秀的艺术人才,而是缺乏精通业务与市场的管理人才,尤其是懂得市场运作、掌握国际贸易规则的有较强经营管理能力的人才。如北京京剧院表示剧院的领导班子大多都是退休后剧院返聘的，管理上存在很多难度，在一定程度上制约了剧院的发展。要解决这一问题，就要实行企业化的运营，在人才选拔、考核、激励等方面借鉴现代化企业的做法，放开门户，以优厚的待遇和良好的发展环境，吸引懂经营、懂管理的新型艺术人才。</w:t>
      </w:r>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同时，人才流失现象严重。除上文提到的影视产业的分流之外，市场上还存在国有剧团和民营剧团抢人才的现象。由于国有剧团的条件、待遇比民营剧团好，民营剧团很难留住人。人才流失对演出剧目产生了很大影响，同时使很多民营剧团存在“后继无人”的担忧。</w:t>
      </w:r>
    </w:p>
    <w:p>
      <w:pPr>
        <w:spacing w:line="520" w:lineRule="atLeast"/>
        <w:ind w:firstLine="643" w:firstLineChars="200"/>
        <w:jc w:val="both"/>
        <w:rPr>
          <w:rFonts w:hint="eastAsia" w:ascii="仿宋_GB2312" w:hAnsi="仿宋_GB2312" w:eastAsia="仿宋_GB2312" w:cs="仿宋_GB2312"/>
          <w:b/>
          <w:bCs/>
          <w:color w:val="auto"/>
          <w:sz w:val="32"/>
          <w:szCs w:val="40"/>
          <w:lang w:val="en-US" w:eastAsia="zh-CN"/>
        </w:rPr>
      </w:pPr>
      <w:bookmarkStart w:id="26" w:name="_Toc245558606"/>
      <w:r>
        <w:rPr>
          <w:rFonts w:hint="eastAsia" w:ascii="仿宋_GB2312" w:hAnsi="仿宋_GB2312" w:eastAsia="仿宋_GB2312" w:cs="仿宋_GB2312"/>
          <w:b/>
          <w:bCs/>
          <w:color w:val="auto"/>
          <w:sz w:val="32"/>
          <w:szCs w:val="40"/>
          <w:lang w:val="en-US" w:eastAsia="zh-CN"/>
        </w:rPr>
        <w:t>5．市场营销：营销能力薄弱</w:t>
      </w:r>
      <w:bookmarkEnd w:id="26"/>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长期以来，营销被演出团体乃至整个演出市场所忽视。由于营销意识欠缺，没有形成营销理念，营销队伍不规范、营销手段不完善、缺乏专业营销人才等，导致营销队伍在市场化的中介作用不够突出，有些团体甚至没有专门从事营销的部门。另一方面，很多剧目没有资金进行宣传发行，导致市场影响力不够，观众上座率不高，结果陷入了“多演多赔,少演少赔，不演不赔”的境地。</w:t>
      </w:r>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演出市场的全方位开放,必然引发激烈的市场竞争。这就要求我们要以观众需求为出发点和最终归宿。而营销，将在其中发挥重要作用。</w:t>
      </w:r>
    </w:p>
    <w:p>
      <w:pPr>
        <w:spacing w:line="520" w:lineRule="atLeast"/>
        <w:ind w:firstLine="640" w:firstLineChars="200"/>
        <w:jc w:val="both"/>
        <w:rPr>
          <w:rFonts w:hint="default" w:ascii="黑体" w:hAnsi="黑体" w:eastAsia="黑体" w:cs="黑体"/>
          <w:color w:val="auto"/>
          <w:sz w:val="32"/>
          <w:szCs w:val="40"/>
          <w:lang w:val="en-US" w:eastAsia="zh-CN"/>
        </w:rPr>
      </w:pPr>
      <w:bookmarkStart w:id="27" w:name="_Toc213754299"/>
      <w:bookmarkStart w:id="28" w:name="_Toc245558607"/>
      <w:r>
        <w:rPr>
          <w:rFonts w:hint="eastAsia" w:ascii="黑体" w:hAnsi="黑体" w:eastAsia="黑体" w:cs="黑体"/>
          <w:color w:val="auto"/>
          <w:sz w:val="32"/>
          <w:szCs w:val="40"/>
          <w:lang w:val="en-US" w:eastAsia="zh-CN"/>
        </w:rPr>
        <w:t>五、四川省文艺表演团体的需求</w:t>
      </w:r>
      <w:bookmarkEnd w:id="27"/>
      <w:bookmarkEnd w:id="28"/>
      <w:r>
        <w:rPr>
          <w:rFonts w:hint="eastAsia" w:ascii="黑体" w:hAnsi="黑体" w:eastAsia="黑体" w:cs="黑体"/>
          <w:color w:val="auto"/>
          <w:sz w:val="32"/>
          <w:szCs w:val="40"/>
          <w:lang w:val="en-US" w:eastAsia="zh-CN"/>
        </w:rPr>
        <w:t>和建议</w:t>
      </w:r>
    </w:p>
    <w:p>
      <w:pPr>
        <w:spacing w:line="520" w:lineRule="atLeast"/>
        <w:ind w:firstLine="643" w:firstLineChars="200"/>
        <w:jc w:val="both"/>
        <w:rPr>
          <w:rFonts w:hint="eastAsia" w:ascii="仿宋_GB2312" w:hAnsi="仿宋_GB2312" w:eastAsia="仿宋_GB2312" w:cs="仿宋_GB2312"/>
          <w:b/>
          <w:bCs/>
          <w:color w:val="auto"/>
          <w:sz w:val="32"/>
          <w:szCs w:val="40"/>
          <w:lang w:val="en-US" w:eastAsia="zh-CN"/>
        </w:rPr>
      </w:pPr>
      <w:bookmarkStart w:id="29" w:name="_Toc245558608"/>
      <w:bookmarkStart w:id="30" w:name="_Toc213754300"/>
      <w:r>
        <w:rPr>
          <w:rFonts w:hint="eastAsia" w:ascii="仿宋_GB2312" w:hAnsi="仿宋_GB2312" w:eastAsia="仿宋_GB2312" w:cs="仿宋_GB2312"/>
          <w:b/>
          <w:bCs/>
          <w:color w:val="auto"/>
          <w:sz w:val="32"/>
          <w:szCs w:val="40"/>
          <w:lang w:val="en-US" w:eastAsia="zh-CN"/>
        </w:rPr>
        <w:t>1．政策支持：民营团体希望提供更多的演出机会</w:t>
      </w:r>
      <w:bookmarkEnd w:id="29"/>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在我们访谈的表演团体中，无一例外都都谈到了政府的扶持问题。国有团体普遍认为，政府的扶持对表演团体的生存和发展至关重要。而民营团体则希望提供更多的演出机会。主要表现在：给民营团体更多的公益性演出机会，给民营团体更多宣传推广的机会，如剧团、剧目的国内、国际宣传推广等。2021年6月，文化和旅游部、民政部及财政部等多部委下发《关于营造更好发展环境支持民营文艺表演团体改革发展的实施意见》中再次强调分类指导的改革思路。这是因为分类式推进、先易后难、兼顾国际经验和现实国情等思路一直是我国文化体制改革的重要经验。对于民营文艺表演团体的分类化改革应该从组织发展目标的营利性视角为突破口，厘清商业性和非营利性民营文艺表演团体之间的边界。需要明确的是，这种身份分类的改革并不意味着简单地“一刀切”，商业性和非营利性民营院团之间不可能做到完全的泾渭分明，彼此之间的艺术生产和运营管理势必存在交叉。优质的商业性民营院团为了更好地参与公共文化服务，可以设立下辖的非营利艺术组织，更好地平衡事业与产业间的关系。非营利性民营院团为了更好地提升治理能力和艺术创新，势必需要实行企业化管理，形成一定的竞争和激励机制。</w:t>
      </w:r>
    </w:p>
    <w:p>
      <w:pPr>
        <w:spacing w:line="520" w:lineRule="atLeast"/>
        <w:ind w:firstLine="643" w:firstLineChars="200"/>
        <w:jc w:val="both"/>
        <w:rPr>
          <w:rFonts w:hint="eastAsia" w:ascii="仿宋_GB2312" w:hAnsi="仿宋_GB2312" w:eastAsia="仿宋_GB2312" w:cs="仿宋_GB2312"/>
          <w:b/>
          <w:bCs/>
          <w:color w:val="auto"/>
          <w:sz w:val="32"/>
          <w:szCs w:val="40"/>
          <w:lang w:val="en-US" w:eastAsia="zh-CN"/>
        </w:rPr>
      </w:pPr>
      <w:bookmarkStart w:id="31" w:name="_Toc245558609"/>
      <w:r>
        <w:rPr>
          <w:rFonts w:hint="eastAsia" w:ascii="仿宋_GB2312" w:hAnsi="仿宋_GB2312" w:eastAsia="仿宋_GB2312" w:cs="仿宋_GB2312"/>
          <w:b/>
          <w:bCs/>
          <w:color w:val="auto"/>
          <w:sz w:val="32"/>
          <w:szCs w:val="40"/>
          <w:lang w:val="en-US" w:eastAsia="zh-CN"/>
        </w:rPr>
        <w:t>2．场地支持</w:t>
      </w:r>
      <w:bookmarkEnd w:id="30"/>
      <w:r>
        <w:rPr>
          <w:rFonts w:hint="eastAsia" w:ascii="仿宋_GB2312" w:hAnsi="仿宋_GB2312" w:eastAsia="仿宋_GB2312" w:cs="仿宋_GB2312"/>
          <w:b/>
          <w:bCs/>
          <w:color w:val="auto"/>
          <w:sz w:val="32"/>
          <w:szCs w:val="40"/>
          <w:lang w:val="en-US" w:eastAsia="zh-CN"/>
        </w:rPr>
        <w:t>：民营团体希望提供更多的演出平台</w:t>
      </w:r>
      <w:bookmarkEnd w:id="31"/>
    </w:p>
    <w:p>
      <w:pPr>
        <w:spacing w:line="520" w:lineRule="atLeast"/>
        <w:ind w:firstLine="640" w:firstLineChars="200"/>
        <w:jc w:val="both"/>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正如前文所述，场地问题已经成为制约文艺表演团体的一大瓶颈。因此，很多团体，特别是民营团体，他们希望政府提供场地方面的支持。一方面，他们希望提供更多的场馆，目前场馆数量少是场租高的一个重要原因；另一方面，希望在与剧场的合作上能获得与剧场平等对话的机会，但在现有的条件下，应可以考虑对场馆资源进行调配，如将一些闲置不用的场馆开发出来，等等。</w:t>
      </w:r>
    </w:p>
    <w:p>
      <w:pPr>
        <w:spacing w:line="520" w:lineRule="atLeast"/>
        <w:ind w:firstLine="643" w:firstLineChars="200"/>
        <w:jc w:val="both"/>
        <w:rPr>
          <w:rFonts w:hint="eastAsia" w:ascii="仿宋_GB2312" w:hAnsi="仿宋_GB2312" w:eastAsia="仿宋_GB2312" w:cs="仿宋_GB2312"/>
          <w:b/>
          <w:bCs/>
          <w:color w:val="auto"/>
          <w:sz w:val="32"/>
          <w:szCs w:val="40"/>
          <w:highlight w:val="none"/>
          <w:lang w:val="en-US" w:eastAsia="zh-CN"/>
        </w:rPr>
      </w:pPr>
      <w:bookmarkStart w:id="32" w:name="_Toc213754301"/>
      <w:bookmarkStart w:id="33" w:name="_Toc245558610"/>
      <w:r>
        <w:rPr>
          <w:rFonts w:hint="eastAsia" w:ascii="仿宋_GB2312" w:hAnsi="仿宋_GB2312" w:eastAsia="仿宋_GB2312" w:cs="仿宋_GB2312"/>
          <w:b/>
          <w:bCs/>
          <w:color w:val="auto"/>
          <w:sz w:val="32"/>
          <w:szCs w:val="40"/>
          <w:highlight w:val="none"/>
          <w:lang w:val="en-US" w:eastAsia="zh-CN"/>
        </w:rPr>
        <w:t>3．资金支持</w:t>
      </w:r>
      <w:bookmarkEnd w:id="32"/>
      <w:r>
        <w:rPr>
          <w:rFonts w:hint="eastAsia" w:ascii="仿宋_GB2312" w:hAnsi="仿宋_GB2312" w:eastAsia="仿宋_GB2312" w:cs="仿宋_GB2312"/>
          <w:b/>
          <w:bCs/>
          <w:color w:val="auto"/>
          <w:sz w:val="32"/>
          <w:szCs w:val="40"/>
          <w:highlight w:val="none"/>
          <w:lang w:val="en-US" w:eastAsia="zh-CN"/>
        </w:rPr>
        <w:t>：希望获得更多的外部资金支持</w:t>
      </w:r>
      <w:bookmarkEnd w:id="33"/>
    </w:p>
    <w:p>
      <w:pPr>
        <w:spacing w:line="520" w:lineRule="atLeast"/>
        <w:ind w:firstLine="640" w:firstLineChars="200"/>
        <w:jc w:val="both"/>
        <w:rPr>
          <w:rFonts w:hint="default" w:ascii="仿宋_GB2312" w:hAnsi="仿宋_GB2312" w:eastAsia="仿宋_GB2312" w:cs="仿宋_GB2312"/>
          <w:color w:val="auto"/>
          <w:sz w:val="32"/>
          <w:szCs w:val="40"/>
          <w:highlight w:val="none"/>
          <w:lang w:val="en-US" w:eastAsia="zh-CN"/>
        </w:rPr>
      </w:pPr>
      <w:r>
        <w:rPr>
          <w:rFonts w:hint="eastAsia" w:ascii="仿宋_GB2312" w:hAnsi="仿宋_GB2312" w:eastAsia="仿宋_GB2312" w:cs="仿宋_GB2312"/>
          <w:color w:val="auto"/>
          <w:sz w:val="32"/>
          <w:szCs w:val="40"/>
          <w:lang w:val="en-US" w:eastAsia="zh-CN"/>
        </w:rPr>
        <w:t>疫情的持续和反复对于一向以现场体验消费为主的表演艺术所带来的冲击是最为直接和严重的。目前各类文艺团体所开展的线上演出、网络直播等数字化演出方式仍处于探索之中，虽获得了一定规模的线上流量，但仍未能形成较为清晰的运营模式。目</w:t>
      </w:r>
      <w:r>
        <w:rPr>
          <w:rFonts w:hint="eastAsia" w:ascii="仿宋_GB2312" w:hAnsi="仿宋_GB2312" w:eastAsia="仿宋_GB2312" w:cs="仿宋_GB2312"/>
          <w:color w:val="auto"/>
          <w:sz w:val="32"/>
          <w:szCs w:val="40"/>
          <w:highlight w:val="none"/>
          <w:lang w:val="en-US" w:eastAsia="zh-CN"/>
        </w:rPr>
        <w:t>前，文化演出市场的融资渠道十分单一，改制前国有团体仅有政府资金扶持这一个通道，改制后虽然融资渠道有所增加，但政府资金支持仍是主要方式。而民营团体主要是依靠演出收入来维持运营成本。获得外部资金的支持，这是表演团体特别是民营团体的迫切需求。同时，部分演出团体希望政府能在一些中国文化传统项目的开发、创作和宣传上给公益捐赠在内的多元化资金筹集体系对艺术表演团体来说至关重要。</w:t>
      </w:r>
    </w:p>
    <w:p>
      <w:pPr>
        <w:spacing w:line="520" w:lineRule="atLeast"/>
        <w:ind w:firstLine="643" w:firstLineChars="200"/>
        <w:jc w:val="both"/>
        <w:rPr>
          <w:rFonts w:hint="eastAsia" w:ascii="仿宋_GB2312" w:hAnsi="仿宋_GB2312" w:eastAsia="仿宋_GB2312" w:cs="仿宋_GB2312"/>
          <w:b/>
          <w:bCs/>
          <w:color w:val="auto"/>
          <w:sz w:val="32"/>
          <w:szCs w:val="40"/>
          <w:highlight w:val="none"/>
          <w:lang w:val="en-US" w:eastAsia="zh-CN"/>
        </w:rPr>
      </w:pPr>
      <w:bookmarkStart w:id="34" w:name="_Toc213754302"/>
      <w:bookmarkStart w:id="35" w:name="_Toc245558611"/>
      <w:r>
        <w:rPr>
          <w:rFonts w:hint="eastAsia" w:ascii="仿宋_GB2312" w:hAnsi="仿宋_GB2312" w:eastAsia="仿宋_GB2312" w:cs="仿宋_GB2312"/>
          <w:b/>
          <w:bCs/>
          <w:color w:val="auto"/>
          <w:sz w:val="32"/>
          <w:szCs w:val="40"/>
          <w:highlight w:val="none"/>
          <w:lang w:val="en-US" w:eastAsia="zh-CN"/>
        </w:rPr>
        <w:t>4．市场</w:t>
      </w:r>
      <w:bookmarkEnd w:id="34"/>
      <w:r>
        <w:rPr>
          <w:rFonts w:hint="eastAsia" w:ascii="仿宋_GB2312" w:hAnsi="仿宋_GB2312" w:eastAsia="仿宋_GB2312" w:cs="仿宋_GB2312"/>
          <w:b/>
          <w:bCs/>
          <w:color w:val="auto"/>
          <w:sz w:val="32"/>
          <w:szCs w:val="40"/>
          <w:highlight w:val="none"/>
          <w:lang w:val="en-US" w:eastAsia="zh-CN"/>
        </w:rPr>
        <w:t>培育：希望政府加强市场环境的培育，实现对资源的合理、公正分配</w:t>
      </w:r>
      <w:bookmarkEnd w:id="35"/>
    </w:p>
    <w:p>
      <w:pPr>
        <w:spacing w:line="520" w:lineRule="atLeast"/>
        <w:ind w:firstLine="640" w:firstLineChars="200"/>
        <w:jc w:val="both"/>
        <w:rPr>
          <w:rFonts w:hint="eastAsia" w:ascii="仿宋_GB2312" w:hAnsi="仿宋_GB2312" w:eastAsia="仿宋_GB2312" w:cs="仿宋_GB2312"/>
          <w:color w:val="auto"/>
          <w:sz w:val="32"/>
          <w:szCs w:val="40"/>
          <w:highlight w:val="none"/>
          <w:lang w:val="en-US" w:eastAsia="zh-CN"/>
        </w:rPr>
      </w:pPr>
      <w:r>
        <w:rPr>
          <w:rFonts w:hint="eastAsia" w:ascii="仿宋_GB2312" w:hAnsi="仿宋_GB2312" w:eastAsia="仿宋_GB2312" w:cs="仿宋_GB2312"/>
          <w:color w:val="auto"/>
          <w:sz w:val="32"/>
          <w:szCs w:val="40"/>
          <w:highlight w:val="none"/>
          <w:lang w:val="en-US" w:eastAsia="zh-CN"/>
        </w:rPr>
        <w:t>不少团体认为，四川的演出市场还很不规范，赠票、黄牛党现象严重影响了演出的票房收入，扰乱了市场的正常秩序；同时，演出资源的分配不够合理，大多数的演出资源分配给了国有团体，而民营团体所得的资源十分有限。大部分的演出团体希望政府应将更多的精力放在市场环境的培育而不是对团体的行政干涉上。希望政府能有效协调好公安票、工作票等赠票问题，建立公正的演出市场环境，在一些奖项、活动方面不能把民营团体排除在外。2021年8月，由文化和旅游部颁布的《演出票务服务与技术规范》正式实施，这是国内首个演出票务领域的行业标准，着重解决统一全国演出票务的内容、规格、编码、制作、发行等基本要求，统一全国演出票务购票、检票、退票等全流程的规范化服务，制订演出行业的票务基本规则，对全国演出票务市场数据进行采集和有效监管。业界普遍认为，这个文件会对黄牛等带来严厉打击，遏制天价票等不良情况，帮助演出市场恢复良性发展。</w:t>
      </w:r>
      <w:bookmarkStart w:id="36" w:name="_Toc213754238"/>
      <w:bookmarkStart w:id="37" w:name="_Toc245558483"/>
      <w:bookmarkStart w:id="38" w:name="_Toc218236935"/>
    </w:p>
    <w:p>
      <w:pPr>
        <w:pStyle w:val="2"/>
        <w:rPr>
          <w:rFonts w:hint="eastAsi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sz w:val="40"/>
          <w:szCs w:val="40"/>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sz w:val="40"/>
          <w:szCs w:val="40"/>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sz w:val="40"/>
          <w:szCs w:val="40"/>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sz w:val="40"/>
          <w:szCs w:val="40"/>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sz w:val="40"/>
          <w:szCs w:val="40"/>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sz w:val="40"/>
          <w:szCs w:val="40"/>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sz w:val="40"/>
          <w:szCs w:val="40"/>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sz w:val="40"/>
          <w:szCs w:val="40"/>
        </w:rPr>
      </w:pPr>
    </w:p>
    <w:p>
      <w:pPr>
        <w:rPr>
          <w:rFonts w:hint="eastAsia" w:ascii="方正小标宋简体" w:hAnsi="方正小标宋简体" w:eastAsia="方正小标宋简体" w:cs="方正小标宋简体"/>
          <w:b w:val="0"/>
          <w:bCs w:val="0"/>
          <w:color w:val="auto"/>
          <w:sz w:val="40"/>
          <w:szCs w:val="40"/>
        </w:rPr>
      </w:pPr>
    </w:p>
    <w:p>
      <w:pPr>
        <w:pStyle w:val="2"/>
        <w:rPr>
          <w:rFonts w:hint="eastAsia" w:ascii="方正小标宋简体" w:hAnsi="方正小标宋简体" w:eastAsia="方正小标宋简体" w:cs="方正小标宋简体"/>
          <w:b w:val="0"/>
          <w:bCs w:val="0"/>
          <w:color w:val="auto"/>
          <w:sz w:val="40"/>
          <w:szCs w:val="40"/>
        </w:rPr>
      </w:pPr>
    </w:p>
    <w:p>
      <w:pPr>
        <w:rPr>
          <w:rFonts w:hint="eastAsia" w:ascii="方正小标宋简体" w:hAnsi="方正小标宋简体" w:eastAsia="方正小标宋简体" w:cs="方正小标宋简体"/>
          <w:b w:val="0"/>
          <w:bCs w:val="0"/>
          <w:color w:val="auto"/>
          <w:sz w:val="40"/>
          <w:szCs w:val="40"/>
        </w:rPr>
      </w:pPr>
    </w:p>
    <w:p>
      <w:pPr>
        <w:pStyle w:val="4"/>
        <w:spacing w:before="240" w:after="240" w:line="480" w:lineRule="auto"/>
        <w:jc w:val="both"/>
        <w:rPr>
          <w:rFonts w:hint="eastAsia" w:ascii="方正小标宋简体" w:hAnsi="方正小标宋简体" w:eastAsia="方正小标宋简体" w:cs="方正小标宋简体"/>
          <w:b w:val="0"/>
          <w:bCs w:val="0"/>
          <w:color w:val="auto"/>
          <w:sz w:val="40"/>
          <w:szCs w:val="40"/>
        </w:rPr>
      </w:pPr>
    </w:p>
    <w:p>
      <w:pPr>
        <w:rPr>
          <w:rFonts w:hint="eastAsi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p>
    <w:p>
      <w:pPr>
        <w:pStyle w:val="4"/>
        <w:spacing w:before="240" w:after="240" w:line="480" w:lineRule="auto"/>
        <w:jc w:val="center"/>
        <w:rPr>
          <w:rFonts w:hint="eastAsia" w:ascii="方正小标宋简体" w:hAnsi="方正小标宋简体" w:eastAsia="方正小标宋简体" w:cs="方正小标宋简体"/>
          <w:b w:val="0"/>
          <w:bCs w:val="0"/>
          <w:color w:val="auto"/>
          <w:kern w:val="2"/>
          <w:sz w:val="44"/>
          <w:szCs w:val="44"/>
          <w:lang w:val="en-US" w:eastAsia="zh-CN" w:bidi="ar-SA"/>
        </w:rPr>
      </w:pPr>
      <w:r>
        <w:rPr>
          <w:rFonts w:hint="eastAsia" w:ascii="方正小标宋简体" w:hAnsi="方正小标宋简体" w:eastAsia="方正小标宋简体" w:cs="方正小标宋简体"/>
          <w:b w:val="0"/>
          <w:bCs w:val="0"/>
          <w:color w:val="auto"/>
          <w:kern w:val="2"/>
          <w:sz w:val="44"/>
          <w:szCs w:val="44"/>
          <w:lang w:val="en-US" w:eastAsia="zh-CN" w:bidi="ar-SA"/>
        </w:rPr>
        <w:t>第六章  2021年四川省演出</w:t>
      </w:r>
      <w:bookmarkEnd w:id="36"/>
      <w:r>
        <w:rPr>
          <w:rFonts w:hint="eastAsia" w:ascii="方正小标宋简体" w:hAnsi="方正小标宋简体" w:eastAsia="方正小标宋简体" w:cs="方正小标宋简体"/>
          <w:b w:val="0"/>
          <w:bCs w:val="0"/>
          <w:color w:val="auto"/>
          <w:kern w:val="2"/>
          <w:sz w:val="44"/>
          <w:szCs w:val="44"/>
          <w:lang w:val="en-US" w:eastAsia="zh-CN" w:bidi="ar-SA"/>
        </w:rPr>
        <w:t>活动分析</w:t>
      </w:r>
      <w:bookmarkEnd w:id="37"/>
      <w:bookmarkEnd w:id="38"/>
      <w:bookmarkStart w:id="39" w:name="_Toc213754239"/>
      <w:bookmarkStart w:id="40" w:name="_Toc218236936"/>
      <w:bookmarkStart w:id="41" w:name="_Toc245558484"/>
    </w:p>
    <w:p>
      <w:pPr>
        <w:rPr>
          <w:rFonts w:hint="eastAsia"/>
        </w:rPr>
      </w:pPr>
    </w:p>
    <w:p>
      <w:pPr>
        <w:pStyle w:val="4"/>
        <w:pageBreakBefore w:val="0"/>
        <w:widowControl w:val="0"/>
        <w:kinsoku/>
        <w:wordWrap/>
        <w:overflowPunct/>
        <w:topLinePunct w:val="0"/>
        <w:bidi w:val="0"/>
        <w:snapToGrid/>
        <w:spacing w:before="0" w:after="0" w:line="480" w:lineRule="auto"/>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本章所涉演出活动指除旅游演艺、新业态（沉浸式）演出以外的演出市场活动。在第七章和第九章中对旅游演艺、新业态（沉浸式）演出活动另作分析。</w:t>
      </w:r>
    </w:p>
    <w:p>
      <w:pPr>
        <w:pStyle w:val="4"/>
        <w:pageBreakBefore w:val="0"/>
        <w:widowControl w:val="0"/>
        <w:kinsoku/>
        <w:wordWrap/>
        <w:overflowPunct/>
        <w:topLinePunct w:val="0"/>
        <w:bidi w:val="0"/>
        <w:snapToGrid/>
        <w:spacing w:before="0" w:after="0" w:line="480" w:lineRule="auto"/>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一、</w:t>
      </w:r>
      <w:r>
        <w:rPr>
          <w:rFonts w:hint="eastAsia" w:ascii="黑体" w:hAnsi="黑体" w:eastAsia="黑体" w:cs="黑体"/>
          <w:b w:val="0"/>
          <w:bCs w:val="0"/>
          <w:color w:val="auto"/>
          <w:sz w:val="32"/>
          <w:szCs w:val="32"/>
          <w:lang w:val="en-US" w:eastAsia="zh-CN"/>
        </w:rPr>
        <w:t>四川省</w:t>
      </w:r>
      <w:r>
        <w:rPr>
          <w:rFonts w:hint="eastAsia" w:ascii="黑体" w:hAnsi="黑体" w:eastAsia="黑体" w:cs="黑体"/>
          <w:b w:val="0"/>
          <w:bCs w:val="0"/>
          <w:color w:val="auto"/>
          <w:sz w:val="32"/>
          <w:szCs w:val="32"/>
        </w:rPr>
        <w:t>演出活动</w:t>
      </w:r>
      <w:bookmarkEnd w:id="39"/>
      <w:r>
        <w:rPr>
          <w:rFonts w:hint="eastAsia" w:ascii="黑体" w:hAnsi="黑体" w:eastAsia="黑体" w:cs="黑体"/>
          <w:b w:val="0"/>
          <w:bCs w:val="0"/>
          <w:color w:val="auto"/>
          <w:sz w:val="32"/>
          <w:szCs w:val="32"/>
        </w:rPr>
        <w:t>总体情况</w:t>
      </w:r>
      <w:bookmarkEnd w:id="40"/>
      <w:bookmarkEnd w:id="41"/>
    </w:p>
    <w:p>
      <w:pPr>
        <w:pageBreakBefore w:val="0"/>
        <w:widowControl w:val="0"/>
        <w:kinsoku/>
        <w:wordWrap/>
        <w:overflowPunct/>
        <w:topLinePunct w:val="0"/>
        <w:bidi w:val="0"/>
        <w:snapToGrid/>
        <w:ind w:right="105" w:rightChars="5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演出活动按其艺术门类可分为演唱会、音乐类（音乐会、音乐剧、歌剧等）、话剧类、地方戏曲（</w:t>
      </w:r>
      <w:r>
        <w:rPr>
          <w:rFonts w:hint="eastAsia" w:ascii="仿宋_GB2312" w:hAnsi="仿宋_GB2312" w:eastAsia="仿宋_GB2312" w:cs="仿宋_GB2312"/>
          <w:sz w:val="32"/>
          <w:szCs w:val="32"/>
          <w:lang w:val="en-US" w:eastAsia="zh-CN"/>
        </w:rPr>
        <w:t>川剧、京剧、</w:t>
      </w:r>
      <w:r>
        <w:rPr>
          <w:rFonts w:hint="eastAsia" w:ascii="仿宋_GB2312" w:hAnsi="仿宋_GB2312" w:eastAsia="仿宋_GB2312" w:cs="仿宋_GB2312"/>
          <w:sz w:val="32"/>
          <w:szCs w:val="32"/>
        </w:rPr>
        <w:t>昆曲、昆剧、越剧等地方戏）、曲艺类（相声、评书等）、歌舞类（歌舞、舞剧等）、儿童类（儿童剧、木偶剧等）、杂技类和综艺类</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演出类型。</w:t>
      </w:r>
    </w:p>
    <w:p>
      <w:pPr>
        <w:pageBreakBefore w:val="0"/>
        <w:widowControl w:val="0"/>
        <w:kinsoku/>
        <w:wordWrap/>
        <w:overflowPunct/>
        <w:topLinePunct w:val="0"/>
        <w:bidi w:val="0"/>
        <w:snapToGrid/>
        <w:ind w:right="105" w:rightChars="5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课题组对20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四川省</w:t>
      </w:r>
      <w:r>
        <w:rPr>
          <w:rFonts w:hint="eastAsia" w:ascii="仿宋_GB2312" w:hAnsi="仿宋_GB2312" w:eastAsia="仿宋_GB2312" w:cs="仿宋_GB2312"/>
          <w:sz w:val="32"/>
          <w:szCs w:val="32"/>
        </w:rPr>
        <w:t>演出市场进行全面调研，</w:t>
      </w:r>
      <w:r>
        <w:rPr>
          <w:rFonts w:hint="eastAsia" w:ascii="仿宋_GB2312" w:hAnsi="仿宋_GB2312" w:eastAsia="仿宋_GB2312" w:cs="仿宋_GB2312"/>
          <w:sz w:val="32"/>
          <w:szCs w:val="32"/>
          <w:lang w:val="en-US" w:eastAsia="zh-CN"/>
        </w:rPr>
        <w:t>数据</w:t>
      </w:r>
      <w:r>
        <w:rPr>
          <w:rFonts w:hint="eastAsia" w:ascii="仿宋_GB2312" w:hAnsi="仿宋_GB2312" w:eastAsia="仿宋_GB2312" w:cs="仿宋_GB2312"/>
          <w:sz w:val="32"/>
          <w:szCs w:val="32"/>
        </w:rPr>
        <w:t>基本涵盖了20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四川省</w:t>
      </w:r>
      <w:r>
        <w:rPr>
          <w:rFonts w:hint="eastAsia" w:ascii="仿宋_GB2312" w:hAnsi="仿宋_GB2312" w:eastAsia="仿宋_GB2312" w:cs="仿宋_GB2312"/>
          <w:sz w:val="32"/>
          <w:szCs w:val="32"/>
        </w:rPr>
        <w:t>所有营业性演出活动，包括演出活动、演出时间、演出场次、表演团体、演出场所等信息。</w:t>
      </w:r>
    </w:p>
    <w:p>
      <w:pPr>
        <w:pageBreakBefore w:val="0"/>
        <w:widowControl w:val="0"/>
        <w:kinsoku/>
        <w:wordWrap/>
        <w:overflowPunct/>
        <w:topLinePunct w:val="0"/>
        <w:bidi w:val="0"/>
        <w:snapToGrid/>
        <w:ind w:right="105" w:rightChars="50" w:firstLine="640" w:firstLineChars="200"/>
        <w:textAlignment w:val="auto"/>
        <w:rPr>
          <w:rFonts w:hint="default" w:ascii="仿宋_GB2312" w:hAnsi="仿宋_GB2312" w:eastAsia="仿宋_GB2312" w:cs="仿宋_GB2312"/>
          <w:sz w:val="32"/>
          <w:szCs w:val="32"/>
          <w:lang w:val="en-US" w:eastAsia="zh-Hans"/>
        </w:rPr>
      </w:pPr>
      <w:r>
        <w:rPr>
          <w:rFonts w:hint="default" w:ascii="仿宋_GB2312" w:hAnsi="仿宋_GB2312" w:eastAsia="仿宋_GB2312" w:cs="仿宋_GB2312"/>
          <w:sz w:val="32"/>
          <w:szCs w:val="32"/>
          <w:lang w:val="en-US" w:eastAsia="zh-Hans"/>
        </w:rPr>
        <w:t>四川省2021年共演出剧目近10216场，票房收入8.18亿元，观演人次398.96万人（不包含旅游演艺）。其中，音乐类、话剧类、演唱会（livehouse、音乐节）分别为演出场次的前三名。</w:t>
      </w:r>
    </w:p>
    <w:p>
      <w:pPr>
        <w:pageBreakBefore w:val="0"/>
        <w:widowControl w:val="0"/>
        <w:kinsoku/>
        <w:wordWrap/>
        <w:overflowPunct/>
        <w:topLinePunct w:val="0"/>
        <w:bidi w:val="0"/>
        <w:snapToGrid/>
        <w:ind w:right="105" w:rightChars="50" w:firstLine="640" w:firstLineChars="200"/>
        <w:textAlignment w:val="auto"/>
        <w:rPr>
          <w:rFonts w:hint="default" w:ascii="仿宋_GB2312" w:hAnsi="仿宋_GB2312" w:eastAsia="仿宋_GB2312" w:cs="仿宋_GB2312"/>
          <w:sz w:val="32"/>
          <w:szCs w:val="32"/>
          <w:lang w:val="en-US" w:eastAsia="zh-Hans"/>
        </w:rPr>
      </w:pPr>
      <w:r>
        <w:rPr>
          <w:rFonts w:hint="default" w:ascii="仿宋_GB2312" w:hAnsi="仿宋_GB2312" w:eastAsia="仿宋_GB2312" w:cs="仿宋_GB2312"/>
          <w:sz w:val="32"/>
          <w:szCs w:val="32"/>
          <w:lang w:val="en-US" w:eastAsia="zh-Hans"/>
        </w:rPr>
        <w:t>2020</w:t>
      </w:r>
      <w:r>
        <w:rPr>
          <w:rFonts w:hint="eastAsia" w:ascii="仿宋_GB2312" w:hAnsi="仿宋_GB2312" w:eastAsia="仿宋_GB2312" w:cs="仿宋_GB2312"/>
          <w:sz w:val="32"/>
          <w:szCs w:val="32"/>
          <w:lang w:val="en-US" w:eastAsia="zh-Hans"/>
        </w:rPr>
        <w:t>年</w:t>
      </w:r>
      <w:r>
        <w:rPr>
          <w:rFonts w:hint="default" w:ascii="仿宋_GB2312" w:hAnsi="仿宋_GB2312" w:eastAsia="仿宋_GB2312" w:cs="仿宋_GB2312"/>
          <w:sz w:val="32"/>
          <w:szCs w:val="32"/>
          <w:lang w:val="en-US" w:eastAsia="zh-Hans"/>
        </w:rPr>
        <w:t>5</w:t>
      </w:r>
      <w:r>
        <w:rPr>
          <w:rFonts w:hint="eastAsia" w:ascii="仿宋_GB2312" w:hAnsi="仿宋_GB2312" w:eastAsia="仿宋_GB2312" w:cs="仿宋_GB2312"/>
          <w:sz w:val="32"/>
          <w:szCs w:val="32"/>
          <w:lang w:val="en-US" w:eastAsia="zh-Hans"/>
        </w:rPr>
        <w:t>月</w:t>
      </w:r>
      <w:r>
        <w:rPr>
          <w:rFonts w:hint="default" w:ascii="仿宋_GB2312" w:hAnsi="仿宋_GB2312" w:eastAsia="仿宋_GB2312" w:cs="仿宋_GB2312"/>
          <w:sz w:val="32"/>
          <w:szCs w:val="32"/>
          <w:lang w:val="en-US" w:eastAsia="zh-Hans"/>
        </w:rPr>
        <w:t>13</w:t>
      </w:r>
      <w:r>
        <w:rPr>
          <w:rFonts w:hint="eastAsia" w:ascii="仿宋_GB2312" w:hAnsi="仿宋_GB2312" w:eastAsia="仿宋_GB2312" w:cs="仿宋_GB2312"/>
          <w:sz w:val="32"/>
          <w:szCs w:val="32"/>
          <w:lang w:val="en-US" w:eastAsia="zh-Hans"/>
        </w:rPr>
        <w:t>日，文化和旅游部市场管理司印发《剧院等演出场所恢复开放疫情防控措施指南》，《剧院等演出场所恢复开放疫情防控措施指南》明确，</w:t>
      </w:r>
      <w:r>
        <w:rPr>
          <w:rFonts w:hint="default" w:ascii="仿宋_GB2312" w:hAnsi="仿宋_GB2312" w:eastAsia="仿宋_GB2312" w:cs="仿宋_GB2312"/>
          <w:sz w:val="32"/>
          <w:szCs w:val="32"/>
          <w:lang w:val="en-US" w:eastAsia="zh-Hans"/>
        </w:rPr>
        <w:t>剧院等演出场所观众人数不得超过剧场座位数的30%</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Hans"/>
        </w:rPr>
        <w:t>2020</w:t>
      </w:r>
      <w:r>
        <w:rPr>
          <w:rFonts w:hint="eastAsia" w:ascii="仿宋_GB2312" w:hAnsi="仿宋_GB2312" w:eastAsia="仿宋_GB2312" w:cs="仿宋_GB2312"/>
          <w:sz w:val="32"/>
          <w:szCs w:val="32"/>
          <w:lang w:val="en-US" w:eastAsia="zh-Hans"/>
        </w:rPr>
        <w:t>年</w:t>
      </w:r>
      <w:r>
        <w:rPr>
          <w:rFonts w:hint="default" w:ascii="仿宋_GB2312" w:hAnsi="仿宋_GB2312" w:eastAsia="仿宋_GB2312" w:cs="仿宋_GB2312"/>
          <w:sz w:val="32"/>
          <w:szCs w:val="32"/>
          <w:lang w:val="en-US" w:eastAsia="zh-Hans"/>
        </w:rPr>
        <w:t>8</w:t>
      </w:r>
      <w:r>
        <w:rPr>
          <w:rFonts w:hint="eastAsia" w:ascii="仿宋_GB2312" w:hAnsi="仿宋_GB2312" w:eastAsia="仿宋_GB2312" w:cs="仿宋_GB2312"/>
          <w:sz w:val="32"/>
          <w:szCs w:val="32"/>
          <w:lang w:val="en-US" w:eastAsia="zh-Hans"/>
        </w:rPr>
        <w:t>月</w:t>
      </w:r>
      <w:r>
        <w:rPr>
          <w:rFonts w:hint="default" w:ascii="仿宋_GB2312" w:hAnsi="仿宋_GB2312" w:eastAsia="仿宋_GB2312" w:cs="仿宋_GB2312"/>
          <w:sz w:val="32"/>
          <w:szCs w:val="32"/>
          <w:lang w:val="en-US" w:eastAsia="zh-Hans"/>
        </w:rPr>
        <w:t>12</w:t>
      </w:r>
      <w:r>
        <w:rPr>
          <w:rFonts w:hint="eastAsia" w:ascii="仿宋_GB2312" w:hAnsi="仿宋_GB2312" w:eastAsia="仿宋_GB2312" w:cs="仿宋_GB2312"/>
          <w:sz w:val="32"/>
          <w:szCs w:val="32"/>
          <w:lang w:val="en-US" w:eastAsia="zh-Hans"/>
        </w:rPr>
        <w:t>日，</w:t>
      </w:r>
      <w:r>
        <w:rPr>
          <w:rFonts w:hint="default" w:ascii="仿宋_GB2312" w:hAnsi="仿宋_GB2312" w:eastAsia="仿宋_GB2312" w:cs="仿宋_GB2312"/>
          <w:sz w:val="32"/>
          <w:szCs w:val="32"/>
          <w:lang w:val="en-US" w:eastAsia="zh-CN"/>
        </w:rPr>
        <w:t>文化和旅游部市场管理司印发《剧院等演出场所恢复开放疫情防控措施指南》（第三版），其中提到：恢复开放的演出场所应当严格执行人员预约限流措施。剧院等演出场所观众人数不得超过剧院座位数的50%</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Hans"/>
        </w:rPr>
        <w:t>2020</w:t>
      </w:r>
      <w:r>
        <w:rPr>
          <w:rFonts w:hint="eastAsia" w:ascii="仿宋_GB2312" w:hAnsi="仿宋_GB2312" w:eastAsia="仿宋_GB2312" w:cs="仿宋_GB2312"/>
          <w:sz w:val="32"/>
          <w:szCs w:val="32"/>
          <w:lang w:val="en-US" w:eastAsia="zh-Hans"/>
        </w:rPr>
        <w:t>年</w:t>
      </w:r>
      <w:r>
        <w:rPr>
          <w:rFonts w:hint="default" w:ascii="仿宋_GB2312" w:hAnsi="仿宋_GB2312" w:eastAsia="仿宋_GB2312" w:cs="仿宋_GB2312"/>
          <w:sz w:val="32"/>
          <w:szCs w:val="32"/>
          <w:lang w:val="en-US" w:eastAsia="zh-Hans"/>
        </w:rPr>
        <w:t>9</w:t>
      </w:r>
      <w:r>
        <w:rPr>
          <w:rFonts w:hint="eastAsia" w:ascii="仿宋_GB2312" w:hAnsi="仿宋_GB2312" w:eastAsia="仿宋_GB2312" w:cs="仿宋_GB2312"/>
          <w:sz w:val="32"/>
          <w:szCs w:val="32"/>
          <w:lang w:val="en-US" w:eastAsia="zh-Hans"/>
        </w:rPr>
        <w:t>月</w:t>
      </w:r>
      <w:r>
        <w:rPr>
          <w:rFonts w:hint="default" w:ascii="仿宋_GB2312" w:hAnsi="仿宋_GB2312" w:eastAsia="仿宋_GB2312" w:cs="仿宋_GB2312"/>
          <w:sz w:val="32"/>
          <w:szCs w:val="32"/>
          <w:lang w:val="en-US" w:eastAsia="zh-Hans"/>
        </w:rPr>
        <w:t>18</w:t>
      </w:r>
      <w:r>
        <w:rPr>
          <w:rFonts w:hint="eastAsia" w:ascii="仿宋_GB2312" w:hAnsi="仿宋_GB2312" w:eastAsia="仿宋_GB2312" w:cs="仿宋_GB2312"/>
          <w:sz w:val="32"/>
          <w:szCs w:val="32"/>
          <w:lang w:val="en-US" w:eastAsia="zh-Hans"/>
        </w:rPr>
        <w:t>日，</w:t>
      </w:r>
      <w:r>
        <w:rPr>
          <w:rFonts w:hint="default" w:ascii="仿宋_GB2312" w:hAnsi="仿宋_GB2312" w:eastAsia="仿宋_GB2312" w:cs="仿宋_GB2312"/>
          <w:sz w:val="32"/>
          <w:szCs w:val="32"/>
          <w:lang w:val="en-US" w:eastAsia="zh-CN"/>
        </w:rPr>
        <w:t>文化和旅游部市场管理司印发《剧院等演出场所恢复开放疫情防控措施指南》（第三版），</w:t>
      </w:r>
      <w:r>
        <w:rPr>
          <w:rFonts w:hint="eastAsia" w:ascii="仿宋_GB2312" w:hAnsi="仿宋_GB2312" w:eastAsia="仿宋_GB2312" w:cs="仿宋_GB2312"/>
          <w:sz w:val="32"/>
          <w:szCs w:val="32"/>
          <w:lang w:val="en-US" w:eastAsia="zh-CN"/>
        </w:rPr>
        <w:t>剧院等演出场所观众人数最多可提升至剧院座位数的75%；</w:t>
      </w:r>
      <w:r>
        <w:rPr>
          <w:rFonts w:hint="default"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lang w:val="en-US" w:eastAsia="zh-Hans"/>
        </w:rPr>
        <w:t>年</w:t>
      </w:r>
      <w:r>
        <w:rPr>
          <w:rFonts w:hint="default" w:ascii="仿宋_GB2312" w:hAnsi="仿宋_GB2312" w:eastAsia="仿宋_GB2312" w:cs="仿宋_GB2312"/>
          <w:sz w:val="32"/>
          <w:szCs w:val="32"/>
          <w:lang w:val="en-US" w:eastAsia="zh-CN"/>
        </w:rPr>
        <w:t>8月31日，文化和旅游部市场管理司印发《剧院等演出场所新冠肺炎疫情防控工作指南（第五版）》在第四版的基础上，进行了修订。指南中指出，疫情低风险地区，对剧院等演出场所接待消费者人数比例不做统一限制，由各省（区、市）党委、政府根据当地疫情防控形势自行掌握，第四版则规定消费者上限为75%</w:t>
      </w:r>
      <w:r>
        <w:rPr>
          <w:rFonts w:hint="eastAsia" w:ascii="仿宋_GB2312" w:hAnsi="仿宋_GB2312" w:eastAsia="仿宋_GB2312" w:cs="仿宋_GB2312"/>
          <w:sz w:val="32"/>
          <w:szCs w:val="32"/>
          <w:lang w:val="en-US" w:eastAsia="zh-CN"/>
        </w:rPr>
        <w:t>。因此，2021年度，各类剧院演出场所基本上在75%的上限内开展经营活动。因此，四川省2021年的演出活动数据在一定程度上受疫情防控的影响。</w:t>
      </w:r>
    </w:p>
    <w:p>
      <w:pPr>
        <w:pageBreakBefore w:val="0"/>
        <w:widowControl w:val="0"/>
        <w:numPr>
          <w:ilvl w:val="0"/>
          <w:numId w:val="7"/>
        </w:numPr>
        <w:kinsoku/>
        <w:wordWrap/>
        <w:overflowPunct/>
        <w:topLinePunct w:val="0"/>
        <w:bidi w:val="0"/>
        <w:snapToGrid/>
        <w:ind w:right="105" w:rightChars="50"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四川省2021年共演出剧目近1.02万场</w:t>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2020年新冠疫情爆发以来，四川省的演出市场受到严重的影响。2021年的演出活动在场次、票房和观演人数上较2020年稍有回暖。2021年四川全年共计演出各种类型剧目1.02万场，</w:t>
      </w:r>
      <w:r>
        <w:rPr>
          <w:rFonts w:hint="eastAsia" w:ascii="仿宋_GB2312" w:hAnsi="仿宋_GB2312" w:eastAsia="仿宋_GB2312" w:cs="仿宋_GB2312"/>
          <w:sz w:val="32"/>
          <w:szCs w:val="32"/>
          <w:lang w:val="en-US" w:eastAsia="zh-Hans"/>
        </w:rPr>
        <w:t>整个西部地区演出场次2.74万场，</w:t>
      </w:r>
      <w:r>
        <w:rPr>
          <w:rFonts w:hint="eastAsia" w:ascii="仿宋_GB2312" w:hAnsi="仿宋_GB2312" w:eastAsia="仿宋_GB2312" w:cs="仿宋_GB2312"/>
          <w:sz w:val="32"/>
          <w:szCs w:val="32"/>
          <w:lang w:val="en-US" w:eastAsia="zh-CN"/>
        </w:rPr>
        <w:t>全国演出场次18.97万场。</w:t>
      </w:r>
      <w:r>
        <w:rPr>
          <w:rFonts w:hint="eastAsia" w:ascii="仿宋_GB2312" w:hAnsi="仿宋_GB2312" w:eastAsia="仿宋_GB2312" w:cs="仿宋_GB2312"/>
          <w:sz w:val="32"/>
          <w:szCs w:val="32"/>
          <w:lang w:val="en-US" w:eastAsia="zh-Hans"/>
        </w:rPr>
        <w:t>四川</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lang w:val="en-US" w:eastAsia="zh-Hans"/>
        </w:rPr>
        <w:t>演出场次占西部地区演出场次</w:t>
      </w:r>
      <w:r>
        <w:rPr>
          <w:rFonts w:hint="eastAsia" w:ascii="仿宋_GB2312" w:hAnsi="仿宋_GB2312" w:eastAsia="仿宋_GB2312" w:cs="仿宋_GB2312"/>
          <w:sz w:val="32"/>
          <w:szCs w:val="32"/>
          <w:lang w:val="en-US" w:eastAsia="zh-CN"/>
        </w:rPr>
        <w:t>的</w:t>
      </w:r>
      <w:r>
        <w:rPr>
          <w:rFonts w:hint="default" w:ascii="仿宋_GB2312" w:hAnsi="仿宋_GB2312" w:eastAsia="仿宋_GB2312" w:cs="仿宋_GB2312"/>
          <w:sz w:val="32"/>
          <w:szCs w:val="32"/>
          <w:lang w:val="en-US" w:eastAsia="zh-Hans"/>
        </w:rPr>
        <w:t>37.23%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占全国演出场次的</w:t>
      </w:r>
      <w:r>
        <w:rPr>
          <w:rFonts w:hint="default" w:ascii="仿宋_GB2312" w:hAnsi="仿宋_GB2312" w:eastAsia="仿宋_GB2312" w:cs="仿宋_GB2312"/>
          <w:sz w:val="32"/>
          <w:szCs w:val="32"/>
          <w:lang w:val="en-US" w:eastAsia="zh-Hans"/>
        </w:rPr>
        <w:t>5.38%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在</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lang w:val="en-US" w:eastAsia="zh-Hans"/>
        </w:rPr>
        <w:t>省、自治区、直辖市中排名第四</w:t>
      </w:r>
      <w:r>
        <w:rPr>
          <w:rFonts w:hint="eastAsia" w:ascii="仿宋_GB2312" w:hAnsi="仿宋_GB2312" w:eastAsia="仿宋_GB2312" w:cs="仿宋_GB2312"/>
          <w:sz w:val="32"/>
          <w:szCs w:val="32"/>
          <w:lang w:val="en-US" w:eastAsia="zh-CN"/>
        </w:rPr>
        <w:t>。</w:t>
      </w:r>
    </w:p>
    <w:p>
      <w:pPr>
        <w:pStyle w:val="2"/>
        <w:rPr>
          <w:rFonts w:hint="eastAsia"/>
          <w:lang w:val="en-US" w:eastAsia="zh-CN"/>
        </w:rPr>
      </w:pPr>
    </w:p>
    <w:p>
      <w:pPr>
        <w:ind w:firstLine="315" w:firstLineChars="150"/>
        <w:jc w:val="center"/>
      </w:pPr>
      <w:r>
        <w:drawing>
          <wp:inline distT="0" distB="0" distL="114300" distR="114300">
            <wp:extent cx="4846320" cy="2743200"/>
            <wp:effectExtent l="4445" t="4445" r="6985" b="14605"/>
            <wp:docPr id="41" name="图表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ind w:firstLine="300" w:firstLineChars="150"/>
        <w:jc w:val="center"/>
        <w:rPr>
          <w:rFonts w:hint="eastAsia" w:ascii="仿宋_GB2312" w:hAnsi="仿宋_GB2312" w:eastAsia="仿宋_GB2312" w:cs="仿宋_GB2312"/>
          <w:sz w:val="32"/>
          <w:szCs w:val="32"/>
          <w:lang w:val="en-US" w:eastAsia="zh-CN"/>
        </w:rPr>
      </w:pPr>
      <w:r>
        <w:rPr>
          <w:rStyle w:val="19"/>
          <w:rFonts w:hint="eastAsia" w:ascii="宋体" w:hAnsi="宋体" w:eastAsia="宋体" w:cs="宋体"/>
          <w:b/>
          <w:bCs w:val="0"/>
          <w:sz w:val="20"/>
          <w:szCs w:val="20"/>
        </w:rPr>
        <w:t>图表</w:t>
      </w:r>
      <w:r>
        <w:rPr>
          <w:rStyle w:val="19"/>
          <w:rFonts w:hint="eastAsia" w:ascii="宋体" w:hAnsi="宋体" w:eastAsia="宋体" w:cs="宋体"/>
          <w:b/>
          <w:bCs w:val="0"/>
          <w:sz w:val="20"/>
          <w:szCs w:val="20"/>
          <w:lang w:val="en-US" w:eastAsia="zh-CN"/>
        </w:rPr>
        <w:t>6</w:t>
      </w:r>
      <w:r>
        <w:rPr>
          <w:rStyle w:val="19"/>
          <w:rFonts w:hint="eastAsia" w:ascii="宋体" w:hAnsi="宋体" w:eastAsia="宋体" w:cs="宋体"/>
          <w:b/>
          <w:bCs w:val="0"/>
          <w:sz w:val="20"/>
          <w:szCs w:val="20"/>
        </w:rPr>
        <w:t>-</w:t>
      </w:r>
      <w:r>
        <w:rPr>
          <w:rStyle w:val="19"/>
          <w:rFonts w:hint="eastAsia" w:ascii="宋体" w:hAnsi="宋体" w:eastAsia="宋体" w:cs="宋体"/>
          <w:b/>
          <w:bCs w:val="0"/>
          <w:sz w:val="20"/>
          <w:szCs w:val="20"/>
          <w:lang w:val="en-US" w:eastAsia="zh-CN"/>
        </w:rPr>
        <w:t>1四川省、西部地区、全国2021年演出场次对比</w:t>
      </w:r>
    </w:p>
    <w:p>
      <w:pPr>
        <w:ind w:firstLine="643" w:firstLineChars="200"/>
        <w:jc w:val="both"/>
        <w:rPr>
          <w:rStyle w:val="19"/>
          <w:rFonts w:hint="default" w:ascii="华文中宋" w:hAnsi="华文中宋" w:eastAsia="华文中宋"/>
          <w:b/>
          <w:bCs w:val="0"/>
          <w:lang w:val="en-US" w:eastAsia="zh-CN"/>
        </w:rPr>
      </w:pPr>
      <w:r>
        <w:rPr>
          <w:rFonts w:hint="eastAsia" w:ascii="仿宋_GB2312" w:hAnsi="仿宋_GB2312" w:eastAsia="仿宋_GB2312" w:cs="仿宋_GB2312"/>
          <w:b/>
          <w:bCs w:val="0"/>
          <w:sz w:val="32"/>
          <w:szCs w:val="32"/>
          <w:lang w:val="en-US" w:eastAsia="zh-CN"/>
        </w:rPr>
        <w:t>2. 四川省2021年演出</w:t>
      </w:r>
      <w:r>
        <w:rPr>
          <w:rFonts w:hint="eastAsia" w:ascii="仿宋_GB2312" w:hAnsi="仿宋_GB2312" w:eastAsia="仿宋_GB2312" w:cs="仿宋_GB2312"/>
          <w:b/>
          <w:bCs w:val="0"/>
          <w:sz w:val="32"/>
          <w:szCs w:val="32"/>
          <w:lang w:val="en-US" w:eastAsia="zh-Hans"/>
        </w:rPr>
        <w:t>票房收入8.18亿元</w:t>
      </w:r>
    </w:p>
    <w:p>
      <w:pPr>
        <w:numPr>
          <w:ilvl w:val="0"/>
          <w:numId w:val="0"/>
        </w:numPr>
        <w:ind w:firstLine="640" w:firstLineChars="200"/>
        <w:jc w:val="both"/>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四川省2021年演出</w:t>
      </w:r>
      <w:r>
        <w:rPr>
          <w:rFonts w:hint="eastAsia" w:ascii="仿宋_GB2312" w:hAnsi="仿宋_GB2312" w:eastAsia="仿宋_GB2312" w:cs="仿宋_GB2312"/>
          <w:sz w:val="32"/>
          <w:szCs w:val="32"/>
          <w:lang w:val="en-US" w:eastAsia="zh-Hans"/>
        </w:rPr>
        <w:t>票房收入8.18亿元（不包含旅游演艺），整个西部地区票房收入19.05亿元</w:t>
      </w:r>
      <w:r>
        <w:rPr>
          <w:rFonts w:hint="eastAsia" w:ascii="仿宋_GB2312" w:hAnsi="仿宋_GB2312" w:eastAsia="仿宋_GB2312" w:cs="仿宋_GB2312"/>
          <w:sz w:val="32"/>
          <w:szCs w:val="32"/>
          <w:lang w:val="en-US" w:eastAsia="zh-CN"/>
        </w:rPr>
        <w:t>，全国票房收入 140.28亿元。四川省2021年</w:t>
      </w:r>
      <w:r>
        <w:rPr>
          <w:rFonts w:hint="eastAsia" w:ascii="仿宋_GB2312" w:hAnsi="仿宋_GB2312" w:eastAsia="仿宋_GB2312" w:cs="仿宋_GB2312"/>
          <w:sz w:val="32"/>
          <w:szCs w:val="32"/>
          <w:lang w:val="en-US" w:eastAsia="zh-Hans"/>
        </w:rPr>
        <w:t>票房收入占</w:t>
      </w:r>
      <w:r>
        <w:rPr>
          <w:rFonts w:hint="eastAsia" w:ascii="仿宋_GB2312" w:hAnsi="仿宋_GB2312" w:eastAsia="仿宋_GB2312" w:cs="仿宋_GB2312"/>
          <w:sz w:val="32"/>
          <w:szCs w:val="32"/>
          <w:lang w:val="en-US" w:eastAsia="zh-CN"/>
        </w:rPr>
        <w:t>西部票房的</w:t>
      </w:r>
      <w:r>
        <w:rPr>
          <w:rFonts w:hint="default" w:ascii="仿宋_GB2312" w:hAnsi="仿宋_GB2312" w:eastAsia="仿宋_GB2312" w:cs="仿宋_GB2312"/>
          <w:sz w:val="32"/>
          <w:szCs w:val="32"/>
          <w:lang w:val="en-US" w:eastAsia="zh-Hans"/>
        </w:rPr>
        <w:t>42.94%</w:t>
      </w:r>
      <w:r>
        <w:rPr>
          <w:rFonts w:hint="eastAsia" w:ascii="仿宋_GB2312" w:hAnsi="仿宋_GB2312" w:eastAsia="仿宋_GB2312" w:cs="仿宋_GB2312"/>
          <w:sz w:val="32"/>
          <w:szCs w:val="32"/>
          <w:lang w:val="en-US" w:eastAsia="zh-CN"/>
        </w:rPr>
        <w:t>，占全国票房的</w:t>
      </w:r>
      <w:r>
        <w:rPr>
          <w:rFonts w:hint="default" w:ascii="仿宋_GB2312" w:hAnsi="仿宋_GB2312" w:eastAsia="仿宋_GB2312" w:cs="仿宋_GB2312"/>
          <w:sz w:val="32"/>
          <w:szCs w:val="32"/>
          <w:lang w:val="en-US" w:eastAsia="zh-Hans"/>
        </w:rPr>
        <w:t>5.83%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在</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lang w:val="en-US" w:eastAsia="zh-Hans"/>
        </w:rPr>
        <w:t>省、自治区、直辖市中排名第六。</w:t>
      </w:r>
    </w:p>
    <w:p>
      <w:pPr>
        <w:numPr>
          <w:ilvl w:val="0"/>
          <w:numId w:val="0"/>
        </w:numPr>
        <w:jc w:val="center"/>
        <w:rPr>
          <w:rStyle w:val="19"/>
          <w:rFonts w:hint="eastAsia" w:ascii="宋体" w:hAnsi="宋体" w:eastAsia="宋体" w:cs="宋体"/>
          <w:b/>
          <w:bCs w:val="0"/>
          <w:sz w:val="20"/>
          <w:szCs w:val="20"/>
        </w:rPr>
      </w:pPr>
    </w:p>
    <w:p>
      <w:pPr>
        <w:numPr>
          <w:ilvl w:val="0"/>
          <w:numId w:val="0"/>
        </w:numPr>
        <w:jc w:val="center"/>
      </w:pPr>
      <w:r>
        <w:drawing>
          <wp:inline distT="0" distB="0" distL="114300" distR="114300">
            <wp:extent cx="4754880" cy="2743200"/>
            <wp:effectExtent l="4445" t="4445" r="22225" b="14605"/>
            <wp:docPr id="49" name="图表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numPr>
          <w:ilvl w:val="0"/>
          <w:numId w:val="0"/>
        </w:numPr>
        <w:jc w:val="center"/>
        <w:rPr>
          <w:rFonts w:hint="eastAsia"/>
          <w:lang w:val="en-US" w:eastAsia="zh-CN"/>
        </w:rPr>
      </w:pPr>
      <w:r>
        <w:rPr>
          <w:rStyle w:val="19"/>
          <w:rFonts w:hint="eastAsia" w:ascii="宋体" w:hAnsi="宋体" w:eastAsia="宋体" w:cs="宋体"/>
          <w:b/>
          <w:bCs w:val="0"/>
          <w:sz w:val="20"/>
          <w:szCs w:val="20"/>
        </w:rPr>
        <w:t>图表</w:t>
      </w:r>
      <w:r>
        <w:rPr>
          <w:rStyle w:val="19"/>
          <w:rFonts w:hint="eastAsia" w:ascii="宋体" w:hAnsi="宋体" w:eastAsia="宋体" w:cs="宋体"/>
          <w:b/>
          <w:bCs w:val="0"/>
          <w:sz w:val="20"/>
          <w:szCs w:val="20"/>
          <w:lang w:val="en-US" w:eastAsia="zh-CN"/>
        </w:rPr>
        <w:t>6</w:t>
      </w:r>
      <w:r>
        <w:rPr>
          <w:rStyle w:val="19"/>
          <w:rFonts w:hint="eastAsia" w:ascii="宋体" w:hAnsi="宋体" w:eastAsia="宋体" w:cs="宋体"/>
          <w:b/>
          <w:bCs w:val="0"/>
          <w:sz w:val="20"/>
          <w:szCs w:val="20"/>
        </w:rPr>
        <w:t>-</w:t>
      </w:r>
      <w:r>
        <w:rPr>
          <w:rStyle w:val="19"/>
          <w:rFonts w:hint="eastAsia" w:ascii="宋体" w:hAnsi="宋体" w:eastAsia="宋体" w:cs="宋体"/>
          <w:b/>
          <w:bCs w:val="0"/>
          <w:sz w:val="20"/>
          <w:szCs w:val="20"/>
          <w:lang w:val="en-US" w:eastAsia="zh-CN"/>
        </w:rPr>
        <w:t>2四川省、西部地区、全国2021年票房收入对比</w:t>
      </w:r>
    </w:p>
    <w:p>
      <w:pPr>
        <w:numPr>
          <w:ilvl w:val="0"/>
          <w:numId w:val="0"/>
        </w:numPr>
        <w:jc w:val="center"/>
        <w:rPr>
          <w:rFonts w:hint="eastAsia" w:ascii="仿宋_GB2312" w:hAnsi="仿宋_GB2312" w:eastAsia="仿宋_GB2312" w:cs="仿宋_GB2312"/>
          <w:sz w:val="32"/>
          <w:szCs w:val="32"/>
          <w:lang w:val="en-US" w:eastAsia="zh-Hans"/>
        </w:rPr>
      </w:pPr>
    </w:p>
    <w:p>
      <w:pPr>
        <w:numPr>
          <w:ilvl w:val="0"/>
          <w:numId w:val="0"/>
        </w:numPr>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 四川省2021年演出</w:t>
      </w:r>
      <w:r>
        <w:rPr>
          <w:rFonts w:hint="eastAsia" w:ascii="仿宋_GB2312" w:hAnsi="仿宋_GB2312" w:eastAsia="仿宋_GB2312" w:cs="仿宋_GB2312"/>
          <w:b/>
          <w:bCs/>
          <w:sz w:val="32"/>
          <w:szCs w:val="32"/>
          <w:lang w:val="en-US" w:eastAsia="zh-Hans"/>
        </w:rPr>
        <w:t>观演人次398.96万人</w:t>
      </w:r>
    </w:p>
    <w:p>
      <w:pPr>
        <w:numPr>
          <w:ilvl w:val="0"/>
          <w:numId w:val="0"/>
        </w:numPr>
        <w:ind w:firstLine="640" w:firstLineChars="200"/>
        <w:jc w:val="left"/>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lang w:val="en-US" w:eastAsia="zh-Hans"/>
        </w:rPr>
        <w:t>2021</w:t>
      </w:r>
      <w:r>
        <w:rPr>
          <w:rFonts w:hint="eastAsia" w:ascii="仿宋_GB2312" w:hAnsi="仿宋_GB2312" w:eastAsia="仿宋_GB2312" w:cs="仿宋_GB2312"/>
          <w:sz w:val="32"/>
          <w:szCs w:val="32"/>
          <w:lang w:val="en-US" w:eastAsia="zh-Hans"/>
        </w:rPr>
        <w:t>年</w:t>
      </w:r>
      <w:r>
        <w:rPr>
          <w:rFonts w:hint="eastAsia" w:ascii="仿宋_GB2312" w:hAnsi="仿宋_GB2312" w:eastAsia="仿宋_GB2312" w:cs="仿宋_GB2312"/>
          <w:sz w:val="32"/>
          <w:szCs w:val="32"/>
          <w:lang w:val="en-US" w:eastAsia="zh-CN"/>
        </w:rPr>
        <w:t>，四川省演出</w:t>
      </w:r>
      <w:r>
        <w:rPr>
          <w:rFonts w:hint="eastAsia" w:ascii="仿宋_GB2312" w:hAnsi="仿宋_GB2312" w:eastAsia="仿宋_GB2312" w:cs="仿宋_GB2312"/>
          <w:sz w:val="32"/>
          <w:szCs w:val="32"/>
          <w:lang w:val="en-US" w:eastAsia="zh-Hans"/>
        </w:rPr>
        <w:t>观演人次398.96万人</w:t>
      </w:r>
      <w:r>
        <w:rPr>
          <w:rFonts w:hint="eastAsia" w:ascii="仿宋_GB2312" w:hAnsi="仿宋_GB2312" w:eastAsia="仿宋_GB2312" w:cs="仿宋_GB2312"/>
          <w:sz w:val="32"/>
          <w:szCs w:val="32"/>
          <w:lang w:val="en-US" w:eastAsia="zh-CN"/>
        </w:rPr>
        <w:t>，西部地区</w:t>
      </w:r>
      <w:r>
        <w:rPr>
          <w:rFonts w:hint="eastAsia" w:ascii="仿宋_GB2312" w:hAnsi="仿宋_GB2312" w:eastAsia="仿宋_GB2312" w:cs="仿宋_GB2312"/>
          <w:sz w:val="32"/>
          <w:szCs w:val="32"/>
          <w:lang w:val="en-US" w:eastAsia="zh-Hans"/>
        </w:rPr>
        <w:t>观演人次861.98万人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lang w:val="en-US" w:eastAsia="zh-CN"/>
        </w:rPr>
        <w:t>四川</w:t>
      </w:r>
      <w:r>
        <w:rPr>
          <w:rFonts w:hint="eastAsia" w:ascii="仿宋_GB2312" w:hAnsi="仿宋_GB2312" w:eastAsia="仿宋_GB2312" w:cs="仿宋_GB2312"/>
          <w:sz w:val="32"/>
          <w:szCs w:val="32"/>
          <w:highlight w:val="none"/>
          <w:lang w:val="en-US" w:eastAsia="zh-Hans"/>
        </w:rPr>
        <w:t>观演人次占西部地区</w:t>
      </w:r>
      <w:r>
        <w:rPr>
          <w:rFonts w:hint="default" w:ascii="仿宋_GB2312" w:hAnsi="仿宋_GB2312" w:eastAsia="仿宋_GB2312" w:cs="仿宋_GB2312"/>
          <w:sz w:val="32"/>
          <w:szCs w:val="32"/>
          <w:highlight w:val="none"/>
          <w:lang w:val="en-US" w:eastAsia="zh-Hans"/>
        </w:rPr>
        <w:t>46.28%</w:t>
      </w:r>
      <w:r>
        <w:rPr>
          <w:rFonts w:hint="eastAsia" w:ascii="仿宋_GB2312" w:hAnsi="仿宋_GB2312" w:eastAsia="仿宋_GB2312" w:cs="仿宋_GB2312"/>
          <w:sz w:val="32"/>
          <w:szCs w:val="32"/>
          <w:highlight w:val="none"/>
          <w:lang w:val="en-US" w:eastAsia="zh-CN"/>
        </w:rPr>
        <w:t>。</w:t>
      </w:r>
    </w:p>
    <w:p>
      <w:pPr>
        <w:numPr>
          <w:ilvl w:val="0"/>
          <w:numId w:val="0"/>
        </w:numPr>
        <w:jc w:val="center"/>
        <w:rPr>
          <w:rStyle w:val="19"/>
          <w:rFonts w:hint="eastAsia" w:ascii="宋体" w:hAnsi="宋体" w:eastAsia="宋体" w:cs="宋体"/>
          <w:b/>
          <w:bCs w:val="0"/>
          <w:sz w:val="20"/>
          <w:szCs w:val="20"/>
        </w:rPr>
      </w:pPr>
    </w:p>
    <w:p>
      <w:pPr>
        <w:numPr>
          <w:ilvl w:val="0"/>
          <w:numId w:val="0"/>
        </w:numPr>
        <w:jc w:val="center"/>
      </w:pPr>
      <w:r>
        <w:drawing>
          <wp:inline distT="0" distB="0" distL="114300" distR="114300">
            <wp:extent cx="4791075" cy="2620010"/>
            <wp:effectExtent l="4445" t="4445" r="5080" b="23495"/>
            <wp:docPr id="54" name="图表 18" descr="7b0a202020202263686172745265734964223a202232303335323639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numPr>
          <w:ilvl w:val="0"/>
          <w:numId w:val="0"/>
        </w:numPr>
        <w:jc w:val="center"/>
        <w:rPr>
          <w:rFonts w:hint="eastAsia" w:ascii="仿宋_GB2312" w:hAnsi="仿宋_GB2312" w:eastAsia="仿宋_GB2312" w:cs="仿宋_GB2312"/>
          <w:sz w:val="32"/>
          <w:szCs w:val="32"/>
          <w:highlight w:val="none"/>
          <w:lang w:val="en-US" w:eastAsia="zh-CN"/>
        </w:rPr>
      </w:pPr>
      <w:r>
        <w:rPr>
          <w:rStyle w:val="19"/>
          <w:rFonts w:hint="eastAsia" w:ascii="宋体" w:hAnsi="宋体" w:eastAsia="宋体" w:cs="宋体"/>
          <w:b/>
          <w:bCs w:val="0"/>
          <w:sz w:val="20"/>
          <w:szCs w:val="20"/>
        </w:rPr>
        <w:t>图表</w:t>
      </w:r>
      <w:r>
        <w:rPr>
          <w:rStyle w:val="19"/>
          <w:rFonts w:hint="eastAsia" w:ascii="宋体" w:hAnsi="宋体" w:eastAsia="宋体" w:cs="宋体"/>
          <w:b/>
          <w:bCs w:val="0"/>
          <w:sz w:val="20"/>
          <w:szCs w:val="20"/>
          <w:lang w:val="en-US" w:eastAsia="zh-CN"/>
        </w:rPr>
        <w:t>6</w:t>
      </w:r>
      <w:r>
        <w:rPr>
          <w:rStyle w:val="19"/>
          <w:rFonts w:hint="eastAsia" w:ascii="宋体" w:hAnsi="宋体" w:eastAsia="宋体" w:cs="宋体"/>
          <w:b/>
          <w:bCs w:val="0"/>
          <w:sz w:val="20"/>
          <w:szCs w:val="20"/>
        </w:rPr>
        <w:t>-</w:t>
      </w:r>
      <w:r>
        <w:rPr>
          <w:rStyle w:val="19"/>
          <w:rFonts w:hint="eastAsia" w:ascii="宋体" w:hAnsi="宋体" w:cs="宋体"/>
          <w:b/>
          <w:bCs w:val="0"/>
          <w:sz w:val="20"/>
          <w:szCs w:val="20"/>
          <w:lang w:val="en-US" w:eastAsia="zh-CN"/>
        </w:rPr>
        <w:t>3</w:t>
      </w:r>
      <w:r>
        <w:rPr>
          <w:rStyle w:val="19"/>
          <w:rFonts w:hint="eastAsia" w:ascii="宋体" w:hAnsi="宋体" w:eastAsia="宋体" w:cs="宋体"/>
          <w:b/>
          <w:bCs w:val="0"/>
          <w:sz w:val="20"/>
          <w:szCs w:val="20"/>
          <w:lang w:val="en-US" w:eastAsia="zh-CN"/>
        </w:rPr>
        <w:t>四川省、西部地区、全国2021年票房收入对比</w:t>
      </w:r>
    </w:p>
    <w:p>
      <w:pPr>
        <w:numPr>
          <w:ilvl w:val="0"/>
          <w:numId w:val="0"/>
        </w:numPr>
        <w:jc w:val="left"/>
        <w:rPr>
          <w:rFonts w:hint="eastAsia" w:ascii="仿宋_GB2312" w:hAnsi="仿宋_GB2312" w:eastAsia="仿宋_GB2312" w:cs="仿宋_GB2312"/>
          <w:b/>
          <w:bCs/>
          <w:sz w:val="32"/>
          <w:szCs w:val="32"/>
          <w:lang w:val="en-US" w:eastAsia="zh-CN"/>
        </w:rPr>
      </w:pPr>
    </w:p>
    <w:p>
      <w:pPr>
        <w:numPr>
          <w:ilvl w:val="0"/>
          <w:numId w:val="0"/>
        </w:numPr>
        <w:ind w:firstLine="643" w:firstLineChars="200"/>
        <w:jc w:val="left"/>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CN"/>
        </w:rPr>
        <w:t>4.</w:t>
      </w:r>
      <w:r>
        <w:rPr>
          <w:rFonts w:hint="default" w:ascii="仿宋_GB2312" w:hAnsi="仿宋_GB2312" w:eastAsia="仿宋_GB2312" w:cs="仿宋_GB2312"/>
          <w:b/>
          <w:bCs/>
          <w:sz w:val="32"/>
          <w:szCs w:val="32"/>
          <w:lang w:val="en-US" w:eastAsia="zh-Hans"/>
        </w:rPr>
        <w:t>2021</w:t>
      </w:r>
      <w:r>
        <w:rPr>
          <w:rFonts w:hint="eastAsia" w:ascii="仿宋_GB2312" w:hAnsi="仿宋_GB2312" w:eastAsia="仿宋_GB2312" w:cs="仿宋_GB2312"/>
          <w:b/>
          <w:bCs/>
          <w:sz w:val="32"/>
          <w:szCs w:val="32"/>
          <w:lang w:val="en-US" w:eastAsia="zh-Hans"/>
        </w:rPr>
        <w:t>年成都演出场次、接待观众数量与票房位居全省第一</w:t>
      </w:r>
    </w:p>
    <w:p>
      <w:pPr>
        <w:ind w:firstLine="640" w:firstLineChars="200"/>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根据课题组调查，</w:t>
      </w:r>
      <w:r>
        <w:rPr>
          <w:rFonts w:hint="default" w:ascii="仿宋_GB2312" w:hAnsi="仿宋_GB2312" w:eastAsia="仿宋_GB2312" w:cs="仿宋_GB2312"/>
          <w:sz w:val="32"/>
          <w:szCs w:val="32"/>
          <w:lang w:val="en-US" w:eastAsia="zh-Hans"/>
        </w:rPr>
        <w:t>2021</w:t>
      </w:r>
      <w:r>
        <w:rPr>
          <w:rFonts w:hint="eastAsia" w:ascii="仿宋_GB2312" w:hAnsi="仿宋_GB2312" w:eastAsia="仿宋_GB2312" w:cs="仿宋_GB2312"/>
          <w:sz w:val="32"/>
          <w:szCs w:val="32"/>
          <w:lang w:val="en-US" w:eastAsia="zh-Hans"/>
        </w:rPr>
        <w:t>年主要的营业性演出项目集中在成都市，</w:t>
      </w:r>
      <w:r>
        <w:rPr>
          <w:rFonts w:hint="default" w:ascii="仿宋_GB2312" w:hAnsi="仿宋_GB2312" w:eastAsia="仿宋_GB2312" w:cs="仿宋_GB2312"/>
          <w:sz w:val="32"/>
          <w:szCs w:val="32"/>
          <w:lang w:val="en-US" w:eastAsia="zh-Hans"/>
        </w:rPr>
        <w:t>在“2021城市演出场次、票房收入综合排序”中，成都市排在省会城市及计划单列市第一位</w:t>
      </w:r>
      <w:r>
        <w:rPr>
          <w:rFonts w:hint="eastAsia" w:ascii="仿宋_GB2312" w:hAnsi="仿宋_GB2312" w:eastAsia="仿宋_GB2312" w:cs="仿宋_GB2312"/>
          <w:sz w:val="32"/>
          <w:szCs w:val="32"/>
          <w:lang w:val="en-US" w:eastAsia="zh-CN"/>
        </w:rPr>
        <w:t>，成都城市音乐厅、四川大剧院、</w:t>
      </w:r>
      <w:r>
        <w:rPr>
          <w:rFonts w:hint="eastAsia" w:ascii="仿宋_GB2312" w:hAnsi="仿宋_GB2312" w:eastAsia="仿宋_GB2312" w:cs="仿宋_GB2312"/>
          <w:sz w:val="32"/>
          <w:szCs w:val="32"/>
          <w:lang w:val="en-US" w:eastAsia="zh-Hans"/>
        </w:rPr>
        <w:t>成都开心麻花环球汇剧场</w:t>
      </w:r>
      <w:r>
        <w:rPr>
          <w:rFonts w:hint="eastAsia" w:ascii="仿宋_GB2312" w:hAnsi="仿宋_GB2312" w:eastAsia="仿宋_GB2312" w:cs="仿宋_GB2312"/>
          <w:sz w:val="32"/>
          <w:szCs w:val="32"/>
          <w:lang w:val="en-US" w:eastAsia="zh-CN"/>
        </w:rPr>
        <w:t>分别为演出活跃度最高前三位。</w:t>
      </w:r>
      <w:r>
        <w:rPr>
          <w:rFonts w:hint="eastAsia" w:ascii="仿宋_GB2312" w:hAnsi="仿宋_GB2312" w:eastAsia="仿宋_GB2312" w:cs="仿宋_GB2312"/>
          <w:sz w:val="32"/>
          <w:szCs w:val="32"/>
          <w:lang w:val="en-US" w:eastAsia="zh-Hans"/>
        </w:rPr>
        <w:t>此外，市场活跃度高的市州分别为绵阳、凉山州、德阳、内江市、广元、眉山、遂宁、南充、宜宾等市州。</w:t>
      </w:r>
    </w:p>
    <w:p>
      <w:pPr>
        <w:jc w:val="center"/>
        <w:rPr>
          <w:rFonts w:hint="eastAsia" w:ascii="宋体" w:hAnsi="宋体" w:cs="宋体"/>
          <w:b/>
          <w:bCs/>
          <w:sz w:val="21"/>
          <w:szCs w:val="21"/>
          <w:lang w:val="en-US" w:eastAsia="zh-CN"/>
        </w:rPr>
      </w:pPr>
    </w:p>
    <w:p>
      <w:pPr>
        <w:jc w:val="center"/>
        <w:rPr>
          <w:rFonts w:hint="default" w:eastAsia="宋体"/>
          <w:b/>
          <w:bCs/>
          <w:sz w:val="20"/>
          <w:szCs w:val="20"/>
          <w:lang w:val="en-US" w:eastAsia="zh-CN"/>
        </w:rPr>
      </w:pPr>
      <w:r>
        <w:rPr>
          <w:rFonts w:hint="eastAsia" w:ascii="宋体" w:hAnsi="宋体" w:cs="宋体"/>
          <w:b/>
          <w:bCs/>
          <w:sz w:val="20"/>
          <w:szCs w:val="20"/>
          <w:lang w:val="en-US" w:eastAsia="zh-CN"/>
        </w:rPr>
        <w:t xml:space="preserve">图表6-4  </w:t>
      </w:r>
      <w:r>
        <w:rPr>
          <w:rFonts w:hint="eastAsia" w:ascii="宋体" w:hAnsi="宋体" w:eastAsia="宋体" w:cs="宋体"/>
          <w:b/>
          <w:bCs/>
          <w:sz w:val="20"/>
          <w:szCs w:val="20"/>
          <w:lang w:val="en-US" w:eastAsia="zh-Hans"/>
        </w:rPr>
        <w:t>2021年成都演出场次、接待观众数量前十位</w:t>
      </w:r>
      <w:r>
        <w:rPr>
          <w:rFonts w:hint="eastAsia" w:ascii="宋体" w:hAnsi="宋体" w:cs="宋体"/>
          <w:b/>
          <w:bCs/>
          <w:sz w:val="20"/>
          <w:szCs w:val="20"/>
          <w:lang w:val="en-US" w:eastAsia="zh-CN"/>
        </w:rPr>
        <w:t>的剧院</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5004"/>
        <w:gridCol w:w="102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b/>
                <w:bCs/>
                <w:sz w:val="20"/>
                <w:szCs w:val="20"/>
                <w:vertAlign w:val="baseline"/>
                <w:lang w:val="en-US" w:eastAsia="zh-CN"/>
              </w:rPr>
            </w:pPr>
            <w:r>
              <w:rPr>
                <w:rFonts w:hint="eastAsia" w:ascii="宋体" w:hAnsi="宋体" w:cs="宋体"/>
                <w:b/>
                <w:bCs/>
                <w:sz w:val="20"/>
                <w:szCs w:val="20"/>
                <w:vertAlign w:val="baseline"/>
                <w:lang w:val="en-US" w:eastAsia="zh-CN"/>
              </w:rPr>
              <w:t>序号</w:t>
            </w:r>
          </w:p>
        </w:tc>
        <w:tc>
          <w:tcPr>
            <w:tcW w:w="5004" w:type="dxa"/>
            <w:noWrap w:val="0"/>
            <w:vAlign w:val="top"/>
          </w:tcPr>
          <w:p>
            <w:pPr>
              <w:pStyle w:val="2"/>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剧场名称</w:t>
            </w:r>
          </w:p>
        </w:tc>
        <w:tc>
          <w:tcPr>
            <w:tcW w:w="1020" w:type="dxa"/>
            <w:noWrap w:val="0"/>
            <w:vAlign w:val="top"/>
          </w:tcPr>
          <w:p>
            <w:pPr>
              <w:pStyle w:val="2"/>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演出场次</w:t>
            </w:r>
          </w:p>
        </w:tc>
        <w:tc>
          <w:tcPr>
            <w:tcW w:w="1161" w:type="dxa"/>
            <w:noWrap w:val="0"/>
            <w:vAlign w:val="top"/>
          </w:tcPr>
          <w:p>
            <w:pPr>
              <w:pStyle w:val="2"/>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接待观众（人次）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1</w:t>
            </w:r>
          </w:p>
        </w:tc>
        <w:tc>
          <w:tcPr>
            <w:tcW w:w="5004" w:type="dxa"/>
            <w:noWrap w:val="0"/>
            <w:vAlign w:val="top"/>
          </w:tcPr>
          <w:p>
            <w:pPr>
              <w:pStyle w:val="2"/>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成都城市音乐厅</w:t>
            </w:r>
          </w:p>
        </w:tc>
        <w:tc>
          <w:tcPr>
            <w:tcW w:w="1020"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426</w:t>
            </w:r>
          </w:p>
        </w:tc>
        <w:tc>
          <w:tcPr>
            <w:tcW w:w="1161"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260000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2</w:t>
            </w:r>
          </w:p>
        </w:tc>
        <w:tc>
          <w:tcPr>
            <w:tcW w:w="5004" w:type="dxa"/>
            <w:noWrap w:val="0"/>
            <w:vAlign w:val="top"/>
          </w:tcPr>
          <w:p>
            <w:pPr>
              <w:pStyle w:val="2"/>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四川大剧院</w:t>
            </w:r>
          </w:p>
        </w:tc>
        <w:tc>
          <w:tcPr>
            <w:tcW w:w="1020"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108</w:t>
            </w:r>
          </w:p>
        </w:tc>
        <w:tc>
          <w:tcPr>
            <w:tcW w:w="1161"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108936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3</w:t>
            </w:r>
          </w:p>
        </w:tc>
        <w:tc>
          <w:tcPr>
            <w:tcW w:w="5004"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成都开心麻花环球汇剧场</w:t>
            </w:r>
          </w:p>
        </w:tc>
        <w:tc>
          <w:tcPr>
            <w:tcW w:w="1020" w:type="dxa"/>
            <w:noWrap w:val="0"/>
            <w:vAlign w:val="top"/>
          </w:tcPr>
          <w:p>
            <w:pPr>
              <w:pStyle w:val="2"/>
              <w:jc w:val="center"/>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197</w:t>
            </w:r>
          </w:p>
        </w:tc>
        <w:tc>
          <w:tcPr>
            <w:tcW w:w="1161" w:type="dxa"/>
            <w:noWrap w:val="0"/>
            <w:vAlign w:val="top"/>
          </w:tcPr>
          <w:p>
            <w:pPr>
              <w:pStyle w:val="2"/>
              <w:jc w:val="center"/>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val="en-US" w:eastAsia="zh-Hans"/>
              </w:rPr>
              <w:t>88650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4</w:t>
            </w:r>
          </w:p>
        </w:tc>
        <w:tc>
          <w:tcPr>
            <w:tcW w:w="5004"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CH</w:t>
            </w:r>
            <w:r>
              <w:rPr>
                <w:rFonts w:hint="eastAsia" w:ascii="宋体" w:hAnsi="宋体" w:eastAsia="宋体" w:cs="宋体"/>
                <w:sz w:val="20"/>
                <w:szCs w:val="20"/>
                <w:vertAlign w:val="baseline"/>
                <w:lang w:eastAsia="zh-Hans"/>
              </w:rPr>
              <w:t>8c冇独空间</w:t>
            </w:r>
          </w:p>
        </w:tc>
        <w:tc>
          <w:tcPr>
            <w:tcW w:w="1020"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126</w:t>
            </w:r>
          </w:p>
        </w:tc>
        <w:tc>
          <w:tcPr>
            <w:tcW w:w="1161"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65112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5</w:t>
            </w:r>
          </w:p>
        </w:tc>
        <w:tc>
          <w:tcPr>
            <w:tcW w:w="5004" w:type="dxa"/>
            <w:noWrap w:val="0"/>
            <w:vAlign w:val="top"/>
          </w:tcPr>
          <w:p>
            <w:pPr>
              <w:pStyle w:val="2"/>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四川省歌舞大剧院</w:t>
            </w:r>
          </w:p>
        </w:tc>
        <w:tc>
          <w:tcPr>
            <w:tcW w:w="1020"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120</w:t>
            </w:r>
          </w:p>
        </w:tc>
        <w:tc>
          <w:tcPr>
            <w:tcW w:w="1161"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kern w:val="0"/>
                <w:sz w:val="20"/>
                <w:szCs w:val="20"/>
              </w:rPr>
              <w:t>56500</w:t>
            </w:r>
            <w:r>
              <w:rPr>
                <w:rFonts w:hint="eastAsia" w:ascii="宋体" w:hAnsi="宋体" w:eastAsia="宋体" w:cs="宋体"/>
                <w:sz w:val="20"/>
                <w:szCs w:val="20"/>
                <w:vertAlign w:val="baseline"/>
                <w:lang w:val="en-US" w:eastAsia="zh-Han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6</w:t>
            </w:r>
          </w:p>
        </w:tc>
        <w:tc>
          <w:tcPr>
            <w:tcW w:w="5004"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正火艺术剧场</w:t>
            </w:r>
          </w:p>
        </w:tc>
        <w:tc>
          <w:tcPr>
            <w:tcW w:w="1020" w:type="dxa"/>
            <w:noWrap w:val="0"/>
            <w:vAlign w:val="top"/>
          </w:tcPr>
          <w:p>
            <w:pPr>
              <w:pStyle w:val="2"/>
              <w:jc w:val="center"/>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90</w:t>
            </w:r>
          </w:p>
        </w:tc>
        <w:tc>
          <w:tcPr>
            <w:tcW w:w="1161"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51600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7</w:t>
            </w:r>
          </w:p>
        </w:tc>
        <w:tc>
          <w:tcPr>
            <w:tcW w:w="5004"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成都繁星戏剧村</w:t>
            </w:r>
          </w:p>
        </w:tc>
        <w:tc>
          <w:tcPr>
            <w:tcW w:w="1020" w:type="dxa"/>
            <w:noWrap w:val="0"/>
            <w:vAlign w:val="top"/>
          </w:tcPr>
          <w:p>
            <w:pPr>
              <w:pStyle w:val="2"/>
              <w:jc w:val="center"/>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146</w:t>
            </w:r>
          </w:p>
        </w:tc>
        <w:tc>
          <w:tcPr>
            <w:tcW w:w="1161"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30647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8</w:t>
            </w:r>
          </w:p>
        </w:tc>
        <w:tc>
          <w:tcPr>
            <w:tcW w:w="5004" w:type="dxa"/>
            <w:noWrap w:val="0"/>
            <w:vAlign w:val="top"/>
          </w:tcPr>
          <w:p>
            <w:pPr>
              <w:pStyle w:val="2"/>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成都大喜国际剧场</w:t>
            </w:r>
          </w:p>
        </w:tc>
        <w:tc>
          <w:tcPr>
            <w:tcW w:w="1020"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91</w:t>
            </w:r>
          </w:p>
        </w:tc>
        <w:tc>
          <w:tcPr>
            <w:tcW w:w="1161"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29826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6" w:type="dxa"/>
            <w:noWrap w:val="0"/>
            <w:vAlign w:val="top"/>
          </w:tcPr>
          <w:p>
            <w:pPr>
              <w:pStyle w:val="2"/>
              <w:jc w:val="cente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9</w:t>
            </w:r>
          </w:p>
        </w:tc>
        <w:tc>
          <w:tcPr>
            <w:tcW w:w="5004"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新声剧场</w:t>
            </w:r>
          </w:p>
        </w:tc>
        <w:tc>
          <w:tcPr>
            <w:tcW w:w="1020" w:type="dxa"/>
            <w:noWrap w:val="0"/>
            <w:vAlign w:val="top"/>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38</w:t>
            </w:r>
          </w:p>
        </w:tc>
        <w:tc>
          <w:tcPr>
            <w:tcW w:w="1161" w:type="dxa"/>
            <w:noWrap w:val="0"/>
            <w:vAlign w:val="top"/>
          </w:tcPr>
          <w:p>
            <w:pPr>
              <w:pStyle w:val="2"/>
              <w:jc w:val="center"/>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17100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336" w:type="dxa"/>
            <w:noWrap w:val="0"/>
            <w:vAlign w:val="top"/>
          </w:tcPr>
          <w:p>
            <w:pPr>
              <w:pStyle w:val="2"/>
              <w:jc w:val="cente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10</w:t>
            </w:r>
          </w:p>
        </w:tc>
        <w:tc>
          <w:tcPr>
            <w:tcW w:w="5004" w:type="dxa"/>
            <w:noWrap w:val="0"/>
            <w:vAlign w:val="top"/>
          </w:tcPr>
          <w:p>
            <w:pPr>
              <w:pStyle w:val="2"/>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成都大喜时代剧场</w:t>
            </w:r>
          </w:p>
        </w:tc>
        <w:tc>
          <w:tcPr>
            <w:tcW w:w="1020"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48</w:t>
            </w:r>
          </w:p>
        </w:tc>
        <w:tc>
          <w:tcPr>
            <w:tcW w:w="1161" w:type="dxa"/>
            <w:noWrap w:val="0"/>
            <w:vAlign w:val="top"/>
          </w:tcPr>
          <w:p>
            <w:pPr>
              <w:pStyle w:val="2"/>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11508</w:t>
            </w:r>
          </w:p>
        </w:tc>
      </w:tr>
    </w:tbl>
    <w:p>
      <w:pPr>
        <w:jc w:val="both"/>
        <w:rPr>
          <w:rStyle w:val="19"/>
          <w:rFonts w:hint="default" w:ascii="华文中宋" w:hAnsi="华文中宋" w:eastAsia="华文中宋"/>
          <w:lang w:val="en-US" w:eastAsia="zh-CN"/>
        </w:rPr>
      </w:pPr>
    </w:p>
    <w:p>
      <w:pPr>
        <w:numPr>
          <w:ilvl w:val="0"/>
          <w:numId w:val="0"/>
        </w:numPr>
        <w:ind w:firstLine="640" w:firstLineChars="200"/>
        <w:rPr>
          <w:rFonts w:hint="eastAsia" w:ascii="黑体" w:hAnsi="黑体" w:eastAsia="黑体" w:cs="黑体"/>
          <w:sz w:val="32"/>
          <w:szCs w:val="32"/>
          <w:lang w:val="en-US" w:eastAsia="zh-CN"/>
        </w:rPr>
      </w:pPr>
      <w:bookmarkStart w:id="42" w:name="_Toc245558492"/>
      <w:bookmarkStart w:id="43" w:name="_Toc218236944"/>
      <w:r>
        <w:rPr>
          <w:rFonts w:hint="eastAsia" w:ascii="黑体" w:hAnsi="黑体" w:eastAsia="黑体" w:cs="黑体"/>
          <w:sz w:val="32"/>
          <w:szCs w:val="32"/>
          <w:lang w:val="en-US" w:eastAsia="zh-CN"/>
        </w:rPr>
        <w:t>二、四川省各种类型演出活动情况</w:t>
      </w:r>
      <w:bookmarkEnd w:id="42"/>
      <w:bookmarkEnd w:id="43"/>
    </w:p>
    <w:p>
      <w:pPr>
        <w:numPr>
          <w:ilvl w:val="0"/>
          <w:numId w:val="0"/>
        </w:numPr>
        <w:ind w:firstLine="643" w:firstLineChars="200"/>
        <w:rPr>
          <w:rFonts w:hint="default" w:ascii="华文中宋" w:hAnsi="华文中宋" w:eastAsia="华文中宋"/>
          <w:b/>
          <w:bCs/>
          <w:color w:val="003366"/>
          <w:sz w:val="30"/>
          <w:szCs w:val="30"/>
          <w:lang w:val="en-US"/>
        </w:rPr>
      </w:pPr>
      <w:bookmarkStart w:id="44" w:name="_Toc245558486"/>
      <w:bookmarkStart w:id="45" w:name="_Toc218236938"/>
      <w:bookmarkStart w:id="46" w:name="_Toc245558493"/>
      <w:bookmarkStart w:id="47" w:name="_Toc218236945"/>
      <w:r>
        <w:rPr>
          <w:rFonts w:hint="eastAsia" w:ascii="仿宋_GB2312" w:hAnsi="仿宋_GB2312" w:eastAsia="仿宋_GB2312" w:cs="仿宋_GB2312"/>
          <w:b/>
          <w:bCs/>
          <w:sz w:val="32"/>
          <w:szCs w:val="32"/>
          <w:lang w:val="en-US" w:eastAsia="zh-CN"/>
        </w:rPr>
        <w:t>1. 四川省各种类型演出场次以音乐会居多，</w:t>
      </w:r>
      <w:bookmarkEnd w:id="44"/>
      <w:bookmarkEnd w:id="45"/>
      <w:r>
        <w:rPr>
          <w:rFonts w:hint="eastAsia" w:ascii="仿宋_GB2312" w:hAnsi="仿宋_GB2312" w:eastAsia="仿宋_GB2312" w:cs="仿宋_GB2312"/>
          <w:b/>
          <w:bCs/>
          <w:sz w:val="32"/>
          <w:szCs w:val="32"/>
          <w:lang w:val="en-US" w:eastAsia="zh-CN"/>
        </w:rPr>
        <w:t>话剧位居第二</w:t>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四川省2021年共举办音乐会2871场，占全年演出总场次的28.10%；举办话剧（含小剧场话剧）2371场，占全年演出总场次的23.20%；</w:t>
      </w:r>
      <w:r>
        <w:rPr>
          <w:rFonts w:hint="eastAsia" w:ascii="仿宋_GB2312" w:hAnsi="仿宋_GB2312" w:eastAsia="仿宋_GB2312" w:cs="仿宋_GB2312"/>
          <w:b w:val="0"/>
          <w:bCs w:val="0"/>
          <w:sz w:val="32"/>
          <w:szCs w:val="32"/>
          <w:lang w:val="en-US" w:eastAsia="zh-Hans"/>
        </w:rPr>
        <w:t>演唱会、livehouse、音乐节</w:t>
      </w:r>
      <w:r>
        <w:rPr>
          <w:rFonts w:hint="default" w:ascii="仿宋_GB2312" w:hAnsi="仿宋_GB2312" w:eastAsia="仿宋_GB2312" w:cs="仿宋_GB2312"/>
          <w:b w:val="0"/>
          <w:bCs w:val="0"/>
          <w:sz w:val="32"/>
          <w:szCs w:val="32"/>
          <w:lang w:val="en-US" w:eastAsia="zh-Hans"/>
        </w:rPr>
        <w:t>1736</w:t>
      </w:r>
      <w:r>
        <w:rPr>
          <w:rFonts w:hint="eastAsia" w:ascii="仿宋_GB2312" w:hAnsi="仿宋_GB2312" w:eastAsia="仿宋_GB2312" w:cs="仿宋_GB2312"/>
          <w:b w:val="0"/>
          <w:bCs w:val="0"/>
          <w:sz w:val="32"/>
          <w:szCs w:val="32"/>
          <w:lang w:val="en-US" w:eastAsia="zh-CN"/>
        </w:rPr>
        <w:t>场，占全年演出总场次的</w:t>
      </w:r>
      <w:r>
        <w:rPr>
          <w:rFonts w:hint="default" w:ascii="仿宋_GB2312" w:hAnsi="仿宋_GB2312" w:eastAsia="仿宋_GB2312" w:cs="仿宋_GB2312"/>
          <w:b w:val="0"/>
          <w:bCs w:val="0"/>
          <w:sz w:val="32"/>
          <w:szCs w:val="32"/>
          <w:lang w:val="en-US" w:eastAsia="zh-Hans"/>
        </w:rPr>
        <w:t>17.0%</w:t>
      </w:r>
      <w:r>
        <w:rPr>
          <w:rFonts w:hint="eastAsia" w:ascii="仿宋_GB2312" w:hAnsi="仿宋_GB2312" w:eastAsia="仿宋_GB2312" w:cs="仿宋_GB2312"/>
          <w:b w:val="0"/>
          <w:bCs w:val="0"/>
          <w:sz w:val="32"/>
          <w:szCs w:val="32"/>
          <w:lang w:val="en-US" w:eastAsia="zh-CN"/>
        </w:rPr>
        <w:t>；儿童剧1123场，占全年演出总场次</w:t>
      </w:r>
      <w:r>
        <w:rPr>
          <w:rFonts w:hint="default" w:ascii="仿宋_GB2312" w:hAnsi="仿宋_GB2312" w:eastAsia="仿宋_GB2312" w:cs="仿宋_GB2312"/>
          <w:b w:val="0"/>
          <w:bCs w:val="0"/>
          <w:sz w:val="32"/>
          <w:szCs w:val="32"/>
          <w:lang w:val="en-US" w:eastAsia="zh-Hans"/>
        </w:rPr>
        <w:t>1</w:t>
      </w:r>
      <w:r>
        <w:rPr>
          <w:rFonts w:hint="eastAsia" w:ascii="仿宋_GB2312" w:hAnsi="仿宋_GB2312" w:eastAsia="仿宋_GB2312" w:cs="仿宋_GB2312"/>
          <w:b w:val="0"/>
          <w:bCs w:val="0"/>
          <w:sz w:val="32"/>
          <w:szCs w:val="32"/>
          <w:lang w:val="en-US" w:eastAsia="zh-CN"/>
        </w:rPr>
        <w:t>0.90</w:t>
      </w:r>
      <w:r>
        <w:rPr>
          <w:rFonts w:hint="default" w:ascii="仿宋_GB2312" w:hAnsi="仿宋_GB2312" w:eastAsia="仿宋_GB2312" w:cs="仿宋_GB2312"/>
          <w:b w:val="0"/>
          <w:bCs w:val="0"/>
          <w:sz w:val="32"/>
          <w:szCs w:val="32"/>
          <w:lang w:val="en-US" w:eastAsia="zh-Hans"/>
        </w:rPr>
        <w:t>%</w:t>
      </w:r>
      <w:r>
        <w:rPr>
          <w:rFonts w:hint="eastAsia" w:ascii="仿宋_GB2312" w:hAnsi="仿宋_GB2312" w:eastAsia="仿宋_GB2312" w:cs="仿宋_GB2312"/>
          <w:b w:val="0"/>
          <w:bCs w:val="0"/>
          <w:sz w:val="32"/>
          <w:szCs w:val="32"/>
          <w:lang w:val="en-US" w:eastAsia="zh-CN"/>
        </w:rPr>
        <w:t>；曲艺、杂技类演出1098场，占全年演出总场次的</w:t>
      </w:r>
      <w:r>
        <w:rPr>
          <w:rFonts w:hint="default" w:ascii="仿宋_GB2312" w:hAnsi="仿宋_GB2312" w:eastAsia="仿宋_GB2312" w:cs="仿宋_GB2312"/>
          <w:b w:val="0"/>
          <w:bCs w:val="0"/>
          <w:sz w:val="32"/>
          <w:szCs w:val="32"/>
          <w:lang w:val="en-US" w:eastAsia="zh-Hans"/>
        </w:rPr>
        <w:t>1</w:t>
      </w:r>
      <w:r>
        <w:rPr>
          <w:rFonts w:hint="eastAsia" w:ascii="仿宋_GB2312" w:hAnsi="仿宋_GB2312" w:eastAsia="仿宋_GB2312" w:cs="仿宋_GB2312"/>
          <w:b w:val="0"/>
          <w:bCs w:val="0"/>
          <w:sz w:val="32"/>
          <w:szCs w:val="32"/>
          <w:lang w:val="en-US" w:eastAsia="zh-CN"/>
        </w:rPr>
        <w:t>0.70</w:t>
      </w:r>
      <w:r>
        <w:rPr>
          <w:rFonts w:hint="default" w:ascii="仿宋_GB2312" w:hAnsi="仿宋_GB2312" w:eastAsia="仿宋_GB2312" w:cs="仿宋_GB2312"/>
          <w:b w:val="0"/>
          <w:bCs w:val="0"/>
          <w:sz w:val="32"/>
          <w:szCs w:val="32"/>
          <w:lang w:val="en-US" w:eastAsia="zh-Hans"/>
        </w:rPr>
        <w:t>%</w:t>
      </w:r>
      <w:r>
        <w:rPr>
          <w:rFonts w:hint="eastAsia" w:ascii="仿宋_GB2312" w:hAnsi="仿宋_GB2312" w:eastAsia="仿宋_GB2312" w:cs="仿宋_GB2312"/>
          <w:b w:val="0"/>
          <w:bCs w:val="0"/>
          <w:sz w:val="32"/>
          <w:szCs w:val="32"/>
          <w:lang w:val="en-US" w:eastAsia="zh-CN"/>
        </w:rPr>
        <w:t>；戏曲393场，占全年演出总场次的3.90</w:t>
      </w:r>
      <w:r>
        <w:rPr>
          <w:rFonts w:hint="default" w:ascii="仿宋_GB2312" w:hAnsi="仿宋_GB2312" w:eastAsia="仿宋_GB2312" w:cs="仿宋_GB2312"/>
          <w:b w:val="0"/>
          <w:bCs w:val="0"/>
          <w:sz w:val="32"/>
          <w:szCs w:val="32"/>
          <w:lang w:val="en-US" w:eastAsia="zh-Hans"/>
        </w:rPr>
        <w:t>%</w:t>
      </w:r>
      <w:r>
        <w:rPr>
          <w:rFonts w:hint="eastAsia" w:ascii="仿宋_GB2312" w:hAnsi="仿宋_GB2312" w:eastAsia="仿宋_GB2312" w:cs="仿宋_GB2312"/>
          <w:b w:val="0"/>
          <w:bCs w:val="0"/>
          <w:sz w:val="32"/>
          <w:szCs w:val="32"/>
          <w:lang w:val="en-US" w:eastAsia="zh-CN"/>
        </w:rPr>
        <w:t>；歌剧、音乐剧198场，占全年演出总场次的1.90</w:t>
      </w:r>
      <w:r>
        <w:rPr>
          <w:rFonts w:hint="default" w:ascii="仿宋_GB2312" w:hAnsi="仿宋_GB2312" w:eastAsia="仿宋_GB2312" w:cs="仿宋_GB2312"/>
          <w:b w:val="0"/>
          <w:bCs w:val="0"/>
          <w:sz w:val="32"/>
          <w:szCs w:val="32"/>
          <w:lang w:val="en-US" w:eastAsia="zh-Hans"/>
        </w:rPr>
        <w:t>%</w:t>
      </w:r>
      <w:r>
        <w:rPr>
          <w:rFonts w:hint="eastAsia" w:ascii="仿宋_GB2312" w:hAnsi="仿宋_GB2312" w:eastAsia="仿宋_GB2312" w:cs="仿宋_GB2312"/>
          <w:b w:val="0"/>
          <w:bCs w:val="0"/>
          <w:sz w:val="32"/>
          <w:szCs w:val="32"/>
          <w:lang w:val="en-US" w:eastAsia="zh-CN"/>
        </w:rPr>
        <w:t>；舞蹈类演出165场，占全年演出总场次的1.60</w:t>
      </w:r>
      <w:r>
        <w:rPr>
          <w:rFonts w:hint="default" w:ascii="仿宋_GB2312" w:hAnsi="仿宋_GB2312" w:eastAsia="仿宋_GB2312" w:cs="仿宋_GB2312"/>
          <w:b w:val="0"/>
          <w:bCs w:val="0"/>
          <w:sz w:val="32"/>
          <w:szCs w:val="32"/>
          <w:lang w:val="en-US" w:eastAsia="zh-Hans"/>
        </w:rPr>
        <w:t>%</w:t>
      </w:r>
      <w:r>
        <w:rPr>
          <w:rFonts w:hint="eastAsia" w:ascii="仿宋_GB2312" w:hAnsi="仿宋_GB2312" w:eastAsia="仿宋_GB2312" w:cs="仿宋_GB2312"/>
          <w:b w:val="0"/>
          <w:bCs w:val="0"/>
          <w:sz w:val="32"/>
          <w:szCs w:val="32"/>
          <w:lang w:val="en-US" w:eastAsia="zh-CN"/>
        </w:rPr>
        <w:t>；脱口秀131场，占全年演出总场次的1.30</w:t>
      </w:r>
      <w:r>
        <w:rPr>
          <w:rFonts w:hint="default" w:ascii="仿宋_GB2312" w:hAnsi="仿宋_GB2312" w:eastAsia="仿宋_GB2312" w:cs="仿宋_GB2312"/>
          <w:b w:val="0"/>
          <w:bCs w:val="0"/>
          <w:sz w:val="32"/>
          <w:szCs w:val="32"/>
          <w:lang w:val="en-US" w:eastAsia="zh-Hans"/>
        </w:rPr>
        <w:t>%</w:t>
      </w:r>
      <w:r>
        <w:rPr>
          <w:rFonts w:hint="eastAsia" w:ascii="仿宋_GB2312" w:hAnsi="仿宋_GB2312" w:eastAsia="仿宋_GB2312" w:cs="仿宋_GB2312"/>
          <w:b w:val="0"/>
          <w:bCs w:val="0"/>
          <w:sz w:val="32"/>
          <w:szCs w:val="32"/>
          <w:lang w:val="en-US" w:eastAsia="zh-CN"/>
        </w:rPr>
        <w:t>；综合、其他类演出130场，占全年演出总场次的1.30</w:t>
      </w:r>
      <w:r>
        <w:rPr>
          <w:rFonts w:hint="default" w:ascii="仿宋_GB2312" w:hAnsi="仿宋_GB2312" w:eastAsia="仿宋_GB2312" w:cs="仿宋_GB2312"/>
          <w:b w:val="0"/>
          <w:bCs w:val="0"/>
          <w:sz w:val="32"/>
          <w:szCs w:val="32"/>
          <w:lang w:val="en-US" w:eastAsia="zh-Hans"/>
        </w:rPr>
        <w:t>%</w:t>
      </w:r>
      <w:r>
        <w:rPr>
          <w:rFonts w:hint="eastAsia" w:ascii="仿宋_GB2312" w:hAnsi="仿宋_GB2312" w:eastAsia="仿宋_GB2312" w:cs="仿宋_GB2312"/>
          <w:b w:val="0"/>
          <w:bCs w:val="0"/>
          <w:sz w:val="32"/>
          <w:szCs w:val="32"/>
          <w:lang w:val="en-US" w:eastAsia="zh-CN"/>
        </w:rPr>
        <w:t>。</w:t>
      </w:r>
    </w:p>
    <w:p>
      <w:pPr>
        <w:pStyle w:val="2"/>
        <w:rPr>
          <w:rFonts w:hint="eastAsia"/>
          <w:lang w:val="en-US" w:eastAsia="zh-CN"/>
        </w:rPr>
      </w:pPr>
    </w:p>
    <w:p>
      <w:pPr>
        <w:numPr>
          <w:ilvl w:val="0"/>
          <w:numId w:val="0"/>
        </w:numPr>
        <w:jc w:val="center"/>
        <w:rPr>
          <w:rStyle w:val="19"/>
          <w:rFonts w:hint="eastAsia" w:ascii="宋体" w:hAnsi="宋体" w:eastAsia="宋体" w:cs="宋体"/>
          <w:sz w:val="20"/>
          <w:szCs w:val="20"/>
        </w:rPr>
      </w:pPr>
    </w:p>
    <w:p>
      <w:pPr>
        <w:numPr>
          <w:ilvl w:val="0"/>
          <w:numId w:val="0"/>
        </w:numPr>
        <w:jc w:val="center"/>
        <w:rPr>
          <w:rStyle w:val="19"/>
          <w:rFonts w:hint="eastAsia" w:ascii="宋体" w:hAnsi="宋体" w:eastAsia="宋体" w:cs="宋体"/>
          <w:sz w:val="20"/>
          <w:szCs w:val="20"/>
        </w:rPr>
      </w:pPr>
    </w:p>
    <w:p>
      <w:pPr>
        <w:numPr>
          <w:ilvl w:val="0"/>
          <w:numId w:val="0"/>
        </w:numPr>
        <w:jc w:val="center"/>
        <w:rPr>
          <w:rStyle w:val="19"/>
          <w:rFonts w:hint="eastAsia" w:ascii="宋体" w:hAnsi="宋体" w:eastAsia="宋体" w:cs="宋体"/>
          <w:sz w:val="20"/>
          <w:szCs w:val="20"/>
        </w:rPr>
      </w:pPr>
    </w:p>
    <w:p>
      <w:pPr>
        <w:numPr>
          <w:ilvl w:val="0"/>
          <w:numId w:val="0"/>
        </w:numPr>
        <w:jc w:val="both"/>
        <w:rPr>
          <w:rStyle w:val="19"/>
          <w:rFonts w:hint="eastAsia" w:ascii="宋体" w:hAnsi="宋体" w:eastAsia="宋体" w:cs="宋体"/>
          <w:sz w:val="20"/>
          <w:szCs w:val="20"/>
        </w:rPr>
      </w:pPr>
    </w:p>
    <w:p>
      <w:pPr>
        <w:numPr>
          <w:ilvl w:val="0"/>
          <w:numId w:val="0"/>
        </w:numPr>
        <w:jc w:val="center"/>
        <w:rPr>
          <w:rFonts w:hint="default" w:ascii="仿宋_GB2312" w:hAnsi="仿宋_GB2312" w:eastAsia="仿宋_GB2312" w:cs="仿宋_GB2312"/>
          <w:b w:val="0"/>
          <w:bCs w:val="0"/>
          <w:sz w:val="32"/>
          <w:szCs w:val="32"/>
          <w:lang w:val="en-US" w:eastAsia="zh-CN"/>
        </w:rPr>
      </w:pPr>
      <w:r>
        <w:drawing>
          <wp:inline distT="0" distB="0" distL="114300" distR="114300">
            <wp:extent cx="5172710" cy="3526790"/>
            <wp:effectExtent l="4445" t="4445" r="23495" b="12065"/>
            <wp:docPr id="55" name="图表 4" descr="7b0a202020202263686172745265734964223a2022343532363834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46"/>
      <w:bookmarkEnd w:id="47"/>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6</w:t>
      </w:r>
      <w:r>
        <w:rPr>
          <w:rStyle w:val="19"/>
          <w:rFonts w:hint="eastAsia" w:ascii="宋体" w:hAnsi="宋体" w:eastAsia="宋体" w:cs="宋体"/>
          <w:sz w:val="20"/>
          <w:szCs w:val="20"/>
        </w:rPr>
        <w:t>-</w:t>
      </w:r>
      <w:r>
        <w:rPr>
          <w:rStyle w:val="19"/>
          <w:rFonts w:hint="eastAsia" w:ascii="宋体" w:hAnsi="宋体" w:cs="宋体"/>
          <w:sz w:val="20"/>
          <w:szCs w:val="20"/>
          <w:lang w:val="en-US" w:eastAsia="zh-CN"/>
        </w:rPr>
        <w:t>5</w:t>
      </w:r>
      <w:r>
        <w:rPr>
          <w:rStyle w:val="19"/>
          <w:rFonts w:hint="eastAsia" w:ascii="宋体" w:hAnsi="宋体" w:eastAsia="宋体" w:cs="宋体"/>
          <w:sz w:val="20"/>
          <w:szCs w:val="20"/>
          <w:lang w:val="en-US" w:eastAsia="zh-CN"/>
        </w:rPr>
        <w:t xml:space="preserve">  四川省2021年各类型演出场次占比</w:t>
      </w:r>
    </w:p>
    <w:p>
      <w:pPr>
        <w:numPr>
          <w:ilvl w:val="0"/>
          <w:numId w:val="7"/>
        </w:numPr>
        <w:ind w:left="0" w:leftChars="0" w:firstLine="643" w:firstLine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2021年四川演出市场票价一览</w:t>
      </w:r>
    </w:p>
    <w:p>
      <w:pPr>
        <w:ind w:firstLine="640" w:firstLineChars="200"/>
        <w:rPr>
          <w:rFonts w:hint="eastAsia" w:ascii="仿宋_GB2312" w:hAnsi="仿宋_GB2312" w:eastAsia="仿宋_GB2312" w:cs="仿宋_GB2312"/>
          <w:sz w:val="32"/>
          <w:szCs w:val="32"/>
          <w:lang w:val="en-US" w:eastAsia="zh-Hans"/>
        </w:rPr>
      </w:pPr>
      <w:r>
        <w:rPr>
          <w:rFonts w:hint="default" w:ascii="仿宋_GB2312" w:hAnsi="仿宋_GB2312" w:eastAsia="仿宋_GB2312" w:cs="仿宋_GB2312"/>
          <w:sz w:val="32"/>
          <w:szCs w:val="32"/>
          <w:lang w:val="en-US" w:eastAsia="zh-Hans"/>
        </w:rPr>
        <w:t>2021</w:t>
      </w:r>
      <w:r>
        <w:rPr>
          <w:rFonts w:hint="eastAsia" w:ascii="仿宋_GB2312" w:hAnsi="仿宋_GB2312" w:eastAsia="仿宋_GB2312" w:cs="仿宋_GB2312"/>
          <w:sz w:val="32"/>
          <w:szCs w:val="32"/>
          <w:lang w:val="en-US" w:eastAsia="zh-Hans"/>
        </w:rPr>
        <w:t>年四川演出市场最高票价为</w:t>
      </w:r>
      <w:r>
        <w:rPr>
          <w:rFonts w:hint="eastAsia" w:ascii="仿宋_GB2312" w:hAnsi="仿宋_GB2312" w:eastAsia="仿宋_GB2312" w:cs="仿宋_GB2312"/>
          <w:sz w:val="32"/>
          <w:szCs w:val="32"/>
          <w:lang w:val="en-US" w:eastAsia="zh-CN"/>
        </w:rPr>
        <w:t>央华版话剧《</w:t>
      </w:r>
      <w:r>
        <w:rPr>
          <w:rFonts w:hint="eastAsia" w:ascii="仿宋_GB2312" w:hAnsi="仿宋_GB2312" w:eastAsia="仿宋_GB2312" w:cs="仿宋_GB2312"/>
          <w:sz w:val="32"/>
          <w:szCs w:val="32"/>
          <w:lang w:val="en-US" w:eastAsia="zh-Hans"/>
        </w:rPr>
        <w:t>如梦之梦</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莲花池票价</w:t>
      </w:r>
      <w:r>
        <w:rPr>
          <w:rFonts w:hint="default" w:ascii="仿宋_GB2312" w:hAnsi="仿宋_GB2312" w:eastAsia="仿宋_GB2312" w:cs="仿宋_GB2312"/>
          <w:sz w:val="32"/>
          <w:szCs w:val="32"/>
          <w:lang w:val="en-US" w:eastAsia="zh-Hans"/>
        </w:rPr>
        <w:t>1880</w:t>
      </w:r>
      <w:r>
        <w:rPr>
          <w:rFonts w:hint="eastAsia" w:ascii="仿宋_GB2312" w:hAnsi="仿宋_GB2312" w:eastAsia="仿宋_GB2312" w:cs="仿宋_GB2312"/>
          <w:sz w:val="32"/>
          <w:szCs w:val="32"/>
          <w:lang w:val="en-US" w:eastAsia="zh-CN"/>
        </w:rPr>
        <w:t>元</w:t>
      </w:r>
      <w:r>
        <w:rPr>
          <w:rFonts w:hint="eastAsia" w:ascii="仿宋_GB2312" w:hAnsi="仿宋_GB2312" w:eastAsia="仿宋_GB2312" w:cs="仿宋_GB2312"/>
          <w:sz w:val="32"/>
          <w:szCs w:val="32"/>
          <w:lang w:val="en-US" w:eastAsia="zh-Hans"/>
        </w:rPr>
        <w:t>，最低票价为四川爱乐乐团月末音乐会</w:t>
      </w:r>
      <w:r>
        <w:rPr>
          <w:rFonts w:hint="default" w:ascii="仿宋_GB2312" w:hAnsi="仿宋_GB2312" w:eastAsia="仿宋_GB2312" w:cs="仿宋_GB2312"/>
          <w:sz w:val="32"/>
          <w:szCs w:val="32"/>
          <w:lang w:val="en-US" w:eastAsia="zh-Hans"/>
        </w:rPr>
        <w:t>10</w:t>
      </w:r>
      <w:r>
        <w:rPr>
          <w:rFonts w:hint="eastAsia" w:ascii="仿宋_GB2312" w:hAnsi="仿宋_GB2312" w:eastAsia="仿宋_GB2312" w:cs="仿宋_GB2312"/>
          <w:sz w:val="32"/>
          <w:szCs w:val="32"/>
          <w:lang w:val="en-US" w:eastAsia="zh-Hans"/>
        </w:rPr>
        <w:t>元。根据中演协调查数据，结合抽样调查成都部分演出场馆、演出经纪公司与文艺表演团，按商业演出模式分析得出。</w:t>
      </w:r>
      <w:r>
        <w:rPr>
          <w:rFonts w:hint="eastAsia" w:ascii="仿宋_GB2312" w:hAnsi="仿宋_GB2312" w:eastAsia="仿宋_GB2312" w:cs="仿宋_GB2312"/>
          <w:sz w:val="32"/>
          <w:szCs w:val="32"/>
          <w:lang w:val="en-US" w:eastAsia="zh-CN"/>
        </w:rPr>
        <w:t>此处所表述的</w:t>
      </w:r>
      <w:r>
        <w:rPr>
          <w:rFonts w:hint="eastAsia" w:ascii="仿宋_GB2312" w:hAnsi="仿宋_GB2312" w:eastAsia="仿宋_GB2312" w:cs="仿宋_GB2312"/>
          <w:sz w:val="32"/>
          <w:szCs w:val="32"/>
          <w:lang w:val="en-US" w:eastAsia="zh-Hans"/>
        </w:rPr>
        <w:t>戏曲票价不包括四川省川剧院与成都川剧研究院周末川剧专场</w:t>
      </w:r>
      <w:r>
        <w:rPr>
          <w:rFonts w:hint="eastAsia" w:ascii="仿宋_GB2312" w:hAnsi="仿宋_GB2312" w:eastAsia="仿宋_GB2312" w:cs="仿宋_GB2312"/>
          <w:sz w:val="32"/>
          <w:szCs w:val="32"/>
          <w:lang w:val="en-US" w:eastAsia="zh-CN"/>
        </w:rPr>
        <w:t>以及</w:t>
      </w:r>
      <w:r>
        <w:rPr>
          <w:rFonts w:hint="eastAsia" w:ascii="仿宋_GB2312" w:hAnsi="仿宋_GB2312" w:eastAsia="仿宋_GB2312" w:cs="仿宋_GB2312"/>
          <w:sz w:val="32"/>
          <w:szCs w:val="32"/>
          <w:lang w:val="en-US" w:eastAsia="zh-Hans"/>
        </w:rPr>
        <w:t>各个市州常态化演出的折子戏与大幕戏</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主要指引进省外地方戏表演团体进行的商业性演出。</w:t>
      </w:r>
    </w:p>
    <w:p>
      <w:pPr>
        <w:pStyle w:val="2"/>
        <w:rPr>
          <w:rFonts w:hint="eastAsia"/>
          <w:lang w:val="en-US" w:eastAsia="zh-Hans"/>
        </w:rPr>
      </w:pPr>
    </w:p>
    <w:p>
      <w:pPr>
        <w:jc w:val="center"/>
        <w:rPr>
          <w:rFonts w:hint="default" w:eastAsia="宋体"/>
          <w:lang w:val="en-US" w:eastAsia="zh-CN"/>
        </w:rPr>
      </w:pPr>
      <w:r>
        <w:rPr>
          <w:rFonts w:hint="eastAsia" w:ascii="宋体" w:hAnsi="宋体" w:cs="宋体"/>
          <w:b/>
          <w:bCs/>
          <w:sz w:val="20"/>
          <w:szCs w:val="20"/>
          <w:lang w:val="en-US" w:eastAsia="zh-CN"/>
        </w:rPr>
        <w:t xml:space="preserve">图表6-6  </w:t>
      </w:r>
      <w:r>
        <w:rPr>
          <w:rFonts w:hint="eastAsia" w:ascii="宋体" w:hAnsi="宋体" w:eastAsia="宋体" w:cs="宋体"/>
          <w:b/>
          <w:bCs/>
          <w:sz w:val="20"/>
          <w:szCs w:val="20"/>
          <w:lang w:val="en-US" w:eastAsia="zh-Hans"/>
        </w:rPr>
        <w:t>2021年</w:t>
      </w:r>
      <w:r>
        <w:rPr>
          <w:rFonts w:hint="eastAsia" w:ascii="宋体" w:hAnsi="宋体" w:cs="宋体"/>
          <w:b/>
          <w:bCs/>
          <w:sz w:val="20"/>
          <w:szCs w:val="20"/>
          <w:lang w:val="en-US" w:eastAsia="zh-CN"/>
        </w:rPr>
        <w:t>四川省各种类型演出票价</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类别</w:t>
            </w:r>
          </w:p>
        </w:tc>
        <w:tc>
          <w:tcPr>
            <w:tcW w:w="2130" w:type="dxa"/>
            <w:noWrap w:val="0"/>
            <w:vAlign w:val="top"/>
          </w:tcPr>
          <w:p>
            <w:pPr>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最高票价</w:t>
            </w:r>
          </w:p>
        </w:tc>
        <w:tc>
          <w:tcPr>
            <w:tcW w:w="2131" w:type="dxa"/>
            <w:noWrap w:val="0"/>
            <w:vAlign w:val="top"/>
          </w:tcPr>
          <w:p>
            <w:pPr>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最低票价</w:t>
            </w:r>
          </w:p>
        </w:tc>
        <w:tc>
          <w:tcPr>
            <w:tcW w:w="2131" w:type="dxa"/>
            <w:noWrap w:val="0"/>
            <w:vAlign w:val="top"/>
          </w:tcPr>
          <w:p>
            <w:pPr>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平均票价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val="0"/>
                <w:bCs w:val="0"/>
                <w:sz w:val="20"/>
                <w:szCs w:val="20"/>
                <w:vertAlign w:val="baseline"/>
                <w:lang w:val="en-US" w:eastAsia="zh-Hans"/>
              </w:rPr>
            </w:pPr>
            <w:r>
              <w:rPr>
                <w:rFonts w:hint="eastAsia" w:ascii="宋体" w:hAnsi="宋体" w:eastAsia="宋体" w:cs="宋体"/>
                <w:b w:val="0"/>
                <w:bCs w:val="0"/>
                <w:sz w:val="20"/>
                <w:szCs w:val="20"/>
                <w:vertAlign w:val="baseline"/>
                <w:lang w:val="en-US" w:eastAsia="zh-Hans"/>
              </w:rPr>
              <w:t>音乐会</w:t>
            </w:r>
          </w:p>
        </w:tc>
        <w:tc>
          <w:tcPr>
            <w:tcW w:w="2130"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1680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eastAsia="zh-CN"/>
              </w:rPr>
              <w:t>6</w:t>
            </w:r>
            <w:r>
              <w:rPr>
                <w:rFonts w:hint="eastAsia" w:ascii="宋体" w:hAnsi="宋体" w:eastAsia="宋体" w:cs="宋体"/>
                <w:b w:val="0"/>
                <w:bCs w:val="0"/>
                <w:sz w:val="20"/>
                <w:szCs w:val="20"/>
                <w:vertAlign w:val="baseline"/>
                <w:lang w:val="en-US" w:eastAsia="zh-CN"/>
              </w:rPr>
              <w:t>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val="0"/>
                <w:bCs w:val="0"/>
                <w:sz w:val="20"/>
                <w:szCs w:val="20"/>
                <w:vertAlign w:val="baseline"/>
                <w:lang w:val="en-US" w:eastAsia="zh-Hans"/>
              </w:rPr>
            </w:pPr>
            <w:r>
              <w:rPr>
                <w:rFonts w:hint="eastAsia" w:ascii="宋体" w:hAnsi="宋体" w:eastAsia="宋体" w:cs="宋体"/>
                <w:b w:val="0"/>
                <w:bCs w:val="0"/>
                <w:sz w:val="20"/>
                <w:szCs w:val="20"/>
                <w:vertAlign w:val="baseline"/>
                <w:lang w:val="en-US" w:eastAsia="zh-Hans"/>
              </w:rPr>
              <w:t>话</w:t>
            </w:r>
            <w:r>
              <w:rPr>
                <w:rFonts w:hint="eastAsia" w:ascii="宋体" w:hAnsi="宋体" w:eastAsia="宋体" w:cs="宋体"/>
                <w:b w:val="0"/>
                <w:bCs w:val="0"/>
                <w:sz w:val="20"/>
                <w:szCs w:val="20"/>
                <w:vertAlign w:val="baseline"/>
                <w:lang w:eastAsia="zh-Hans"/>
              </w:rPr>
              <w:t xml:space="preserve"> </w:t>
            </w:r>
            <w:r>
              <w:rPr>
                <w:rFonts w:hint="eastAsia" w:ascii="宋体" w:hAnsi="宋体" w:eastAsia="宋体" w:cs="宋体"/>
                <w:b w:val="0"/>
                <w:bCs w:val="0"/>
                <w:sz w:val="20"/>
                <w:szCs w:val="20"/>
                <w:vertAlign w:val="baseline"/>
                <w:lang w:val="en-US" w:eastAsia="zh-Hans"/>
              </w:rPr>
              <w:t>剧</w:t>
            </w:r>
          </w:p>
        </w:tc>
        <w:tc>
          <w:tcPr>
            <w:tcW w:w="2130"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1080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80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5</w:t>
            </w:r>
            <w:r>
              <w:rPr>
                <w:rFonts w:hint="eastAsia" w:ascii="宋体" w:hAnsi="宋体" w:eastAsia="宋体" w:cs="宋体"/>
                <w:b w:val="0"/>
                <w:bCs w:val="0"/>
                <w:sz w:val="20"/>
                <w:szCs w:val="20"/>
                <w:vertAlign w:val="baseline"/>
                <w:lang w:eastAsia="zh-CN"/>
              </w:rPr>
              <w:t>3</w:t>
            </w:r>
            <w:r>
              <w:rPr>
                <w:rFonts w:hint="eastAsia" w:ascii="宋体" w:hAnsi="宋体" w:eastAsia="宋体" w:cs="宋体"/>
                <w:b w:val="0"/>
                <w:bCs w:val="0"/>
                <w:sz w:val="20"/>
                <w:szCs w:val="20"/>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val="0"/>
                <w:bCs w:val="0"/>
                <w:sz w:val="20"/>
                <w:szCs w:val="20"/>
                <w:vertAlign w:val="baseline"/>
                <w:lang w:val="en-US" w:eastAsia="zh-Hans"/>
              </w:rPr>
            </w:pPr>
            <w:r>
              <w:rPr>
                <w:rFonts w:hint="eastAsia" w:ascii="宋体" w:hAnsi="宋体" w:eastAsia="宋体" w:cs="宋体"/>
                <w:b w:val="0"/>
                <w:bCs w:val="0"/>
                <w:sz w:val="20"/>
                <w:szCs w:val="20"/>
                <w:vertAlign w:val="baseline"/>
                <w:lang w:val="en-US" w:eastAsia="zh-Hans"/>
              </w:rPr>
              <w:t>小剧场话剧</w:t>
            </w:r>
          </w:p>
        </w:tc>
        <w:tc>
          <w:tcPr>
            <w:tcW w:w="2130" w:type="dxa"/>
            <w:noWrap w:val="0"/>
            <w:vAlign w:val="top"/>
          </w:tcPr>
          <w:p>
            <w:pPr>
              <w:jc w:val="center"/>
              <w:rPr>
                <w:rFonts w:hint="eastAsia" w:ascii="宋体" w:hAnsi="宋体" w:eastAsia="宋体" w:cs="宋体"/>
                <w:b w:val="0"/>
                <w:bCs w:val="0"/>
                <w:sz w:val="20"/>
                <w:szCs w:val="20"/>
                <w:vertAlign w:val="baseline"/>
                <w:lang w:eastAsia="zh-CN"/>
              </w:rPr>
            </w:pPr>
            <w:r>
              <w:rPr>
                <w:rFonts w:hint="eastAsia" w:ascii="宋体" w:hAnsi="宋体" w:eastAsia="宋体" w:cs="宋体"/>
                <w:b w:val="0"/>
                <w:bCs w:val="0"/>
                <w:sz w:val="20"/>
                <w:szCs w:val="20"/>
                <w:vertAlign w:val="baseline"/>
                <w:lang w:eastAsia="zh-CN"/>
              </w:rPr>
              <w:t>180</w:t>
            </w:r>
          </w:p>
        </w:tc>
        <w:tc>
          <w:tcPr>
            <w:tcW w:w="2131" w:type="dxa"/>
            <w:noWrap w:val="0"/>
            <w:vAlign w:val="top"/>
          </w:tcPr>
          <w:p>
            <w:pPr>
              <w:jc w:val="center"/>
              <w:rPr>
                <w:rFonts w:hint="eastAsia" w:ascii="宋体" w:hAnsi="宋体" w:eastAsia="宋体" w:cs="宋体"/>
                <w:b w:val="0"/>
                <w:bCs w:val="0"/>
                <w:sz w:val="20"/>
                <w:szCs w:val="20"/>
                <w:vertAlign w:val="baseline"/>
                <w:lang w:eastAsia="zh-CN"/>
              </w:rPr>
            </w:pPr>
            <w:r>
              <w:rPr>
                <w:rFonts w:hint="eastAsia" w:ascii="宋体" w:hAnsi="宋体" w:eastAsia="宋体" w:cs="宋体"/>
                <w:b w:val="0"/>
                <w:bCs w:val="0"/>
                <w:sz w:val="20"/>
                <w:szCs w:val="20"/>
                <w:vertAlign w:val="baseline"/>
                <w:lang w:eastAsia="zh-CN"/>
              </w:rPr>
              <w:t>80</w:t>
            </w:r>
          </w:p>
        </w:tc>
        <w:tc>
          <w:tcPr>
            <w:tcW w:w="2131" w:type="dxa"/>
            <w:noWrap w:val="0"/>
            <w:vAlign w:val="top"/>
          </w:tcPr>
          <w:p>
            <w:pPr>
              <w:jc w:val="center"/>
              <w:rPr>
                <w:rFonts w:hint="eastAsia" w:ascii="宋体" w:hAnsi="宋体" w:eastAsia="宋体" w:cs="宋体"/>
                <w:b w:val="0"/>
                <w:bCs w:val="0"/>
                <w:sz w:val="20"/>
                <w:szCs w:val="20"/>
                <w:vertAlign w:val="baseline"/>
                <w:lang w:eastAsia="zh-CN"/>
              </w:rPr>
            </w:pPr>
            <w:r>
              <w:rPr>
                <w:rFonts w:hint="eastAsia" w:ascii="宋体" w:hAnsi="宋体" w:eastAsia="宋体" w:cs="宋体"/>
                <w:b w:val="0"/>
                <w:bCs w:val="0"/>
                <w:sz w:val="20"/>
                <w:szCs w:val="20"/>
                <w:vertAlign w:val="baseline"/>
                <w:lang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val="0"/>
                <w:bCs w:val="0"/>
                <w:sz w:val="20"/>
                <w:szCs w:val="20"/>
                <w:vertAlign w:val="baseline"/>
                <w:lang w:val="en-US" w:eastAsia="zh-Hans"/>
              </w:rPr>
            </w:pPr>
            <w:r>
              <w:rPr>
                <w:rFonts w:hint="eastAsia" w:ascii="宋体" w:hAnsi="宋体" w:eastAsia="宋体" w:cs="宋体"/>
                <w:b w:val="0"/>
                <w:bCs w:val="0"/>
                <w:sz w:val="20"/>
                <w:szCs w:val="20"/>
                <w:vertAlign w:val="baseline"/>
                <w:lang w:val="en-US" w:eastAsia="zh-Hans"/>
              </w:rPr>
              <w:t>音乐剧</w:t>
            </w:r>
          </w:p>
        </w:tc>
        <w:tc>
          <w:tcPr>
            <w:tcW w:w="2130"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eastAsia="zh-CN"/>
              </w:rPr>
              <w:t>8</w:t>
            </w:r>
            <w:r>
              <w:rPr>
                <w:rFonts w:hint="eastAsia" w:ascii="宋体" w:hAnsi="宋体" w:eastAsia="宋体" w:cs="宋体"/>
                <w:b w:val="0"/>
                <w:bCs w:val="0"/>
                <w:sz w:val="20"/>
                <w:szCs w:val="20"/>
                <w:vertAlign w:val="baseline"/>
                <w:lang w:val="en-US" w:eastAsia="zh-CN"/>
              </w:rPr>
              <w:t>80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50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eastAsia="zh-CN"/>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val="0"/>
                <w:bCs w:val="0"/>
                <w:sz w:val="20"/>
                <w:szCs w:val="20"/>
                <w:vertAlign w:val="baseline"/>
                <w:lang w:val="en-US" w:eastAsia="zh-Hans"/>
              </w:rPr>
            </w:pPr>
            <w:r>
              <w:rPr>
                <w:rFonts w:hint="eastAsia" w:ascii="宋体" w:hAnsi="宋体" w:eastAsia="宋体" w:cs="宋体"/>
                <w:b w:val="0"/>
                <w:bCs w:val="0"/>
                <w:sz w:val="20"/>
                <w:szCs w:val="20"/>
                <w:vertAlign w:val="baseline"/>
                <w:lang w:val="en-US" w:eastAsia="zh-Hans"/>
              </w:rPr>
              <w:t>舞</w:t>
            </w:r>
            <w:r>
              <w:rPr>
                <w:rFonts w:hint="eastAsia" w:ascii="宋体" w:hAnsi="宋体" w:eastAsia="宋体" w:cs="宋体"/>
                <w:b w:val="0"/>
                <w:bCs w:val="0"/>
                <w:sz w:val="20"/>
                <w:szCs w:val="20"/>
                <w:vertAlign w:val="baseline"/>
                <w:lang w:eastAsia="zh-Hans"/>
              </w:rPr>
              <w:t xml:space="preserve"> </w:t>
            </w:r>
            <w:r>
              <w:rPr>
                <w:rFonts w:hint="eastAsia" w:ascii="宋体" w:hAnsi="宋体" w:eastAsia="宋体" w:cs="宋体"/>
                <w:b w:val="0"/>
                <w:bCs w:val="0"/>
                <w:sz w:val="20"/>
                <w:szCs w:val="20"/>
                <w:vertAlign w:val="baseline"/>
                <w:lang w:val="en-US" w:eastAsia="zh-Hans"/>
              </w:rPr>
              <w:t>剧</w:t>
            </w:r>
          </w:p>
        </w:tc>
        <w:tc>
          <w:tcPr>
            <w:tcW w:w="2130"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880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80</w:t>
            </w:r>
          </w:p>
        </w:tc>
        <w:tc>
          <w:tcPr>
            <w:tcW w:w="2131" w:type="dxa"/>
            <w:noWrap w:val="0"/>
            <w:vAlign w:val="top"/>
          </w:tcPr>
          <w:p>
            <w:pPr>
              <w:jc w:val="center"/>
              <w:rPr>
                <w:rFonts w:hint="eastAsia" w:ascii="宋体" w:hAnsi="宋体" w:eastAsia="宋体" w:cs="宋体"/>
                <w:b w:val="0"/>
                <w:bCs w:val="0"/>
                <w:sz w:val="20"/>
                <w:szCs w:val="20"/>
                <w:vertAlign w:val="baseline"/>
                <w:lang w:eastAsia="zh-CN"/>
              </w:rPr>
            </w:pPr>
            <w:r>
              <w:rPr>
                <w:rFonts w:hint="eastAsia" w:ascii="宋体" w:hAnsi="宋体" w:eastAsia="宋体" w:cs="宋体"/>
                <w:b w:val="0"/>
                <w:bCs w:val="0"/>
                <w:sz w:val="20"/>
                <w:szCs w:val="20"/>
                <w:vertAlign w:val="baseline"/>
                <w:lang w:eastAsia="zh-CN"/>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val="0"/>
                <w:bCs w:val="0"/>
                <w:sz w:val="20"/>
                <w:szCs w:val="20"/>
                <w:vertAlign w:val="baseline"/>
                <w:lang w:val="en-US" w:eastAsia="zh-Hans"/>
              </w:rPr>
            </w:pPr>
            <w:r>
              <w:rPr>
                <w:rFonts w:hint="eastAsia" w:ascii="宋体" w:hAnsi="宋体" w:eastAsia="宋体" w:cs="宋体"/>
                <w:b w:val="0"/>
                <w:bCs w:val="0"/>
                <w:sz w:val="20"/>
                <w:szCs w:val="20"/>
                <w:vertAlign w:val="baseline"/>
                <w:lang w:val="en-US" w:eastAsia="zh-Hans"/>
              </w:rPr>
              <w:t>儿童剧</w:t>
            </w:r>
          </w:p>
        </w:tc>
        <w:tc>
          <w:tcPr>
            <w:tcW w:w="2130"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680</w:t>
            </w:r>
          </w:p>
        </w:tc>
        <w:tc>
          <w:tcPr>
            <w:tcW w:w="2131" w:type="dxa"/>
            <w:noWrap w:val="0"/>
            <w:vAlign w:val="top"/>
          </w:tcPr>
          <w:p>
            <w:pPr>
              <w:jc w:val="center"/>
              <w:rPr>
                <w:rFonts w:hint="default" w:ascii="宋体" w:hAnsi="宋体" w:eastAsia="宋体" w:cs="宋体"/>
                <w:b w:val="0"/>
                <w:bCs w:val="0"/>
                <w:sz w:val="20"/>
                <w:szCs w:val="20"/>
                <w:vertAlign w:val="baseline"/>
                <w:lang w:val="en-US" w:eastAsia="zh-CN"/>
              </w:rPr>
            </w:pPr>
            <w:r>
              <w:rPr>
                <w:rFonts w:hint="eastAsia" w:ascii="宋体" w:hAnsi="宋体" w:cs="宋体"/>
                <w:b w:val="0"/>
                <w:bCs w:val="0"/>
                <w:sz w:val="20"/>
                <w:szCs w:val="20"/>
                <w:vertAlign w:val="baseline"/>
                <w:lang w:val="en-US" w:eastAsia="zh-CN"/>
              </w:rPr>
              <w:t>80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eastAsia="zh-CN"/>
              </w:rPr>
              <w:t>38</w:t>
            </w:r>
            <w:r>
              <w:rPr>
                <w:rFonts w:hint="eastAsia" w:ascii="宋体" w:hAnsi="宋体" w:eastAsia="宋体" w:cs="宋体"/>
                <w:b w:val="0"/>
                <w:bCs w:val="0"/>
                <w:sz w:val="20"/>
                <w:szCs w:val="20"/>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val="0"/>
                <w:bCs w:val="0"/>
                <w:sz w:val="20"/>
                <w:szCs w:val="20"/>
                <w:vertAlign w:val="baseline"/>
                <w:lang w:val="en-US" w:eastAsia="zh-Hans"/>
              </w:rPr>
            </w:pPr>
            <w:r>
              <w:rPr>
                <w:rFonts w:hint="eastAsia" w:ascii="宋体" w:hAnsi="宋体" w:eastAsia="宋体" w:cs="宋体"/>
                <w:b w:val="0"/>
                <w:bCs w:val="0"/>
                <w:sz w:val="20"/>
                <w:szCs w:val="20"/>
                <w:vertAlign w:val="baseline"/>
                <w:lang w:val="en-US" w:eastAsia="zh-Hans"/>
              </w:rPr>
              <w:t>戏</w:t>
            </w:r>
            <w:r>
              <w:rPr>
                <w:rFonts w:hint="eastAsia" w:ascii="宋体" w:hAnsi="宋体" w:eastAsia="宋体" w:cs="宋体"/>
                <w:b w:val="0"/>
                <w:bCs w:val="0"/>
                <w:sz w:val="20"/>
                <w:szCs w:val="20"/>
                <w:vertAlign w:val="baseline"/>
                <w:lang w:eastAsia="zh-Hans"/>
              </w:rPr>
              <w:t xml:space="preserve"> </w:t>
            </w:r>
            <w:r>
              <w:rPr>
                <w:rFonts w:hint="eastAsia" w:ascii="宋体" w:hAnsi="宋体" w:eastAsia="宋体" w:cs="宋体"/>
                <w:b w:val="0"/>
                <w:bCs w:val="0"/>
                <w:sz w:val="20"/>
                <w:szCs w:val="20"/>
                <w:vertAlign w:val="baseline"/>
                <w:lang w:val="en-US" w:eastAsia="zh-Hans"/>
              </w:rPr>
              <w:t>曲</w:t>
            </w:r>
          </w:p>
        </w:tc>
        <w:tc>
          <w:tcPr>
            <w:tcW w:w="2130"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580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val="en-US" w:eastAsia="zh-CN"/>
              </w:rPr>
              <w:t>180</w:t>
            </w:r>
          </w:p>
        </w:tc>
        <w:tc>
          <w:tcPr>
            <w:tcW w:w="2131"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eastAsia="zh-CN"/>
              </w:rPr>
              <w:t>26</w:t>
            </w:r>
            <w:r>
              <w:rPr>
                <w:rFonts w:hint="eastAsia" w:ascii="宋体" w:hAnsi="宋体" w:eastAsia="宋体" w:cs="宋体"/>
                <w:b w:val="0"/>
                <w:bCs w:val="0"/>
                <w:sz w:val="20"/>
                <w:szCs w:val="20"/>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val="0"/>
                <w:bCs w:val="0"/>
                <w:sz w:val="20"/>
                <w:szCs w:val="20"/>
                <w:vertAlign w:val="baseline"/>
                <w:lang w:eastAsia="zh-Hans"/>
              </w:rPr>
            </w:pPr>
            <w:r>
              <w:rPr>
                <w:rFonts w:hint="eastAsia" w:ascii="宋体" w:hAnsi="宋体" w:eastAsia="宋体" w:cs="宋体"/>
                <w:b w:val="0"/>
                <w:bCs w:val="0"/>
                <w:sz w:val="20"/>
                <w:szCs w:val="20"/>
                <w:vertAlign w:val="baseline"/>
                <w:lang w:val="en-US" w:eastAsia="zh-Hans"/>
              </w:rPr>
              <w:t>相</w:t>
            </w:r>
            <w:r>
              <w:rPr>
                <w:rFonts w:hint="eastAsia" w:ascii="宋体" w:hAnsi="宋体" w:eastAsia="宋体" w:cs="宋体"/>
                <w:b w:val="0"/>
                <w:bCs w:val="0"/>
                <w:sz w:val="20"/>
                <w:szCs w:val="20"/>
                <w:vertAlign w:val="baseline"/>
                <w:lang w:eastAsia="zh-Hans"/>
              </w:rPr>
              <w:t xml:space="preserve"> </w:t>
            </w:r>
            <w:r>
              <w:rPr>
                <w:rFonts w:hint="eastAsia" w:ascii="宋体" w:hAnsi="宋体" w:eastAsia="宋体" w:cs="宋体"/>
                <w:b w:val="0"/>
                <w:bCs w:val="0"/>
                <w:sz w:val="20"/>
                <w:szCs w:val="20"/>
                <w:vertAlign w:val="baseline"/>
                <w:lang w:val="en-US" w:eastAsia="zh-Hans"/>
              </w:rPr>
              <w:t>声</w:t>
            </w:r>
          </w:p>
        </w:tc>
        <w:tc>
          <w:tcPr>
            <w:tcW w:w="2130" w:type="dxa"/>
            <w:noWrap w:val="0"/>
            <w:vAlign w:val="top"/>
          </w:tcPr>
          <w:p>
            <w:pPr>
              <w:jc w:val="center"/>
              <w:rPr>
                <w:rFonts w:hint="eastAsia" w:ascii="宋体" w:hAnsi="宋体" w:eastAsia="宋体" w:cs="宋体"/>
                <w:b w:val="0"/>
                <w:bCs w:val="0"/>
                <w:sz w:val="20"/>
                <w:szCs w:val="20"/>
                <w:vertAlign w:val="baseline"/>
                <w:lang w:eastAsia="zh-Hans"/>
              </w:rPr>
            </w:pPr>
            <w:r>
              <w:rPr>
                <w:rFonts w:hint="eastAsia" w:ascii="宋体" w:hAnsi="宋体" w:eastAsia="宋体" w:cs="宋体"/>
                <w:b w:val="0"/>
                <w:bCs w:val="0"/>
                <w:sz w:val="20"/>
                <w:szCs w:val="20"/>
                <w:vertAlign w:val="baseline"/>
                <w:lang w:eastAsia="zh-Hans"/>
              </w:rPr>
              <w:t>320</w:t>
            </w:r>
          </w:p>
        </w:tc>
        <w:tc>
          <w:tcPr>
            <w:tcW w:w="2131" w:type="dxa"/>
            <w:noWrap w:val="0"/>
            <w:vAlign w:val="top"/>
          </w:tcPr>
          <w:p>
            <w:pPr>
              <w:jc w:val="center"/>
              <w:rPr>
                <w:rFonts w:hint="eastAsia" w:ascii="宋体" w:hAnsi="宋体" w:eastAsia="宋体" w:cs="宋体"/>
                <w:b w:val="0"/>
                <w:bCs w:val="0"/>
                <w:sz w:val="20"/>
                <w:szCs w:val="20"/>
                <w:vertAlign w:val="baseline"/>
                <w:lang w:eastAsia="zh-Hans"/>
              </w:rPr>
            </w:pPr>
            <w:r>
              <w:rPr>
                <w:rFonts w:hint="eastAsia" w:ascii="宋体" w:hAnsi="宋体" w:eastAsia="宋体" w:cs="宋体"/>
                <w:b w:val="0"/>
                <w:bCs w:val="0"/>
                <w:sz w:val="20"/>
                <w:szCs w:val="20"/>
                <w:vertAlign w:val="baseline"/>
                <w:lang w:eastAsia="zh-Hans"/>
              </w:rPr>
              <w:t>68</w:t>
            </w:r>
          </w:p>
        </w:tc>
        <w:tc>
          <w:tcPr>
            <w:tcW w:w="2131" w:type="dxa"/>
            <w:noWrap w:val="0"/>
            <w:vAlign w:val="top"/>
          </w:tcPr>
          <w:p>
            <w:pPr>
              <w:jc w:val="center"/>
              <w:rPr>
                <w:rFonts w:hint="eastAsia" w:ascii="宋体" w:hAnsi="宋体" w:eastAsia="宋体" w:cs="宋体"/>
                <w:b w:val="0"/>
                <w:bCs w:val="0"/>
                <w:sz w:val="20"/>
                <w:szCs w:val="20"/>
                <w:vertAlign w:val="baseline"/>
                <w:lang w:eastAsia="zh-Hans"/>
              </w:rPr>
            </w:pPr>
            <w:r>
              <w:rPr>
                <w:rFonts w:hint="eastAsia" w:ascii="宋体" w:hAnsi="宋体" w:eastAsia="宋体" w:cs="宋体"/>
                <w:b w:val="0"/>
                <w:bCs w:val="0"/>
                <w:sz w:val="20"/>
                <w:szCs w:val="20"/>
                <w:vertAlign w:val="baseline"/>
                <w:lang w:eastAsia="zh-Hans"/>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宋体" w:hAnsi="宋体" w:eastAsia="宋体" w:cs="宋体"/>
                <w:b w:val="0"/>
                <w:bCs w:val="0"/>
                <w:sz w:val="20"/>
                <w:szCs w:val="20"/>
                <w:vertAlign w:val="baseline"/>
                <w:lang w:eastAsia="zh-Hans"/>
              </w:rPr>
            </w:pPr>
            <w:r>
              <w:rPr>
                <w:rFonts w:hint="eastAsia" w:ascii="宋体" w:hAnsi="宋体" w:eastAsia="宋体" w:cs="宋体"/>
                <w:b w:val="0"/>
                <w:bCs w:val="0"/>
                <w:sz w:val="20"/>
                <w:szCs w:val="20"/>
                <w:vertAlign w:val="baseline"/>
                <w:lang w:val="en-US" w:eastAsia="zh-Hans"/>
              </w:rPr>
              <w:t>脱口秀</w:t>
            </w:r>
          </w:p>
        </w:tc>
        <w:tc>
          <w:tcPr>
            <w:tcW w:w="2130" w:type="dxa"/>
            <w:noWrap w:val="0"/>
            <w:vAlign w:val="top"/>
          </w:tcPr>
          <w:p>
            <w:pPr>
              <w:jc w:val="center"/>
              <w:rPr>
                <w:rFonts w:hint="eastAsia" w:ascii="宋体" w:hAnsi="宋体" w:eastAsia="宋体" w:cs="宋体"/>
                <w:b w:val="0"/>
                <w:bCs w:val="0"/>
                <w:sz w:val="20"/>
                <w:szCs w:val="20"/>
                <w:vertAlign w:val="baseline"/>
                <w:lang w:val="en-US" w:eastAsia="zh-CN"/>
              </w:rPr>
            </w:pPr>
            <w:r>
              <w:rPr>
                <w:rFonts w:hint="eastAsia" w:ascii="宋体" w:hAnsi="宋体" w:eastAsia="宋体" w:cs="宋体"/>
                <w:b w:val="0"/>
                <w:bCs w:val="0"/>
                <w:sz w:val="20"/>
                <w:szCs w:val="20"/>
                <w:vertAlign w:val="baseline"/>
                <w:lang w:eastAsia="zh-CN"/>
              </w:rPr>
              <w:t>3</w:t>
            </w:r>
            <w:r>
              <w:rPr>
                <w:rFonts w:hint="eastAsia" w:ascii="宋体" w:hAnsi="宋体" w:eastAsia="宋体" w:cs="宋体"/>
                <w:b w:val="0"/>
                <w:bCs w:val="0"/>
                <w:sz w:val="20"/>
                <w:szCs w:val="20"/>
                <w:vertAlign w:val="baseline"/>
                <w:lang w:val="en-US" w:eastAsia="zh-CN"/>
              </w:rPr>
              <w:t>80</w:t>
            </w:r>
          </w:p>
        </w:tc>
        <w:tc>
          <w:tcPr>
            <w:tcW w:w="2131" w:type="dxa"/>
            <w:noWrap w:val="0"/>
            <w:vAlign w:val="top"/>
          </w:tcPr>
          <w:p>
            <w:pPr>
              <w:jc w:val="center"/>
              <w:rPr>
                <w:rFonts w:hint="eastAsia" w:ascii="宋体" w:hAnsi="宋体" w:eastAsia="宋体" w:cs="宋体"/>
                <w:b w:val="0"/>
                <w:bCs w:val="0"/>
                <w:sz w:val="20"/>
                <w:szCs w:val="20"/>
                <w:vertAlign w:val="baseline"/>
                <w:lang w:eastAsia="zh-CN"/>
              </w:rPr>
            </w:pPr>
            <w:r>
              <w:rPr>
                <w:rFonts w:hint="eastAsia" w:ascii="宋体" w:hAnsi="宋体" w:eastAsia="宋体" w:cs="宋体"/>
                <w:b w:val="0"/>
                <w:bCs w:val="0"/>
                <w:sz w:val="20"/>
                <w:szCs w:val="20"/>
                <w:vertAlign w:val="baseline"/>
                <w:lang w:eastAsia="zh-CN"/>
              </w:rPr>
              <w:t>120</w:t>
            </w:r>
          </w:p>
        </w:tc>
        <w:tc>
          <w:tcPr>
            <w:tcW w:w="2131" w:type="dxa"/>
            <w:noWrap w:val="0"/>
            <w:vAlign w:val="top"/>
          </w:tcPr>
          <w:p>
            <w:pPr>
              <w:jc w:val="center"/>
              <w:rPr>
                <w:rFonts w:hint="eastAsia" w:ascii="宋体" w:hAnsi="宋体" w:eastAsia="宋体" w:cs="宋体"/>
                <w:b w:val="0"/>
                <w:bCs w:val="0"/>
                <w:sz w:val="20"/>
                <w:szCs w:val="20"/>
                <w:vertAlign w:val="baseline"/>
                <w:lang w:eastAsia="zh-CN"/>
              </w:rPr>
            </w:pPr>
            <w:r>
              <w:rPr>
                <w:rFonts w:hint="eastAsia" w:ascii="宋体" w:hAnsi="宋体" w:eastAsia="宋体" w:cs="宋体"/>
                <w:b w:val="0"/>
                <w:bCs w:val="0"/>
                <w:sz w:val="20"/>
                <w:szCs w:val="20"/>
                <w:vertAlign w:val="baseline"/>
                <w:lang w:eastAsia="zh-CN"/>
              </w:rPr>
              <w:t>180</w:t>
            </w:r>
          </w:p>
        </w:tc>
      </w:tr>
    </w:tbl>
    <w:p>
      <w:pPr>
        <w:numPr>
          <w:ilvl w:val="0"/>
          <w:numId w:val="0"/>
        </w:numPr>
        <w:ind w:left="630" w:leftChars="0"/>
        <w:rPr>
          <w:rFonts w:hint="eastAsia" w:ascii="仿宋_GB2312" w:hAnsi="仿宋_GB2312" w:eastAsia="仿宋_GB2312" w:cs="仿宋_GB2312"/>
          <w:b/>
          <w:bCs/>
          <w:sz w:val="32"/>
          <w:szCs w:val="32"/>
          <w:highlight w:val="none"/>
          <w:lang w:val="en-US" w:eastAsia="zh-Hans"/>
        </w:rPr>
      </w:pPr>
      <w:r>
        <w:rPr>
          <w:rFonts w:hint="eastAsia" w:ascii="仿宋_GB2312" w:hAnsi="仿宋_GB2312"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lang w:val="en-US" w:eastAsia="zh-Hans"/>
        </w:rPr>
        <w:t>2021年四川演出市场表现突出的原创剧目</w:t>
      </w:r>
    </w:p>
    <w:p>
      <w:pPr>
        <w:pStyle w:val="17"/>
        <w:jc w:val="center"/>
        <w:rPr>
          <w:rFonts w:hint="default"/>
          <w:lang w:val="en-US" w:eastAsia="zh-Hans"/>
        </w:rPr>
      </w:pPr>
      <w:r>
        <w:rPr>
          <w:rFonts w:hint="eastAsia" w:ascii="宋体" w:hAnsi="宋体" w:cs="宋体"/>
          <w:b/>
          <w:bCs/>
          <w:sz w:val="20"/>
          <w:szCs w:val="20"/>
          <w:lang w:val="en-US" w:eastAsia="zh-CN"/>
        </w:rPr>
        <w:t xml:space="preserve">图表6-7  </w:t>
      </w:r>
      <w:r>
        <w:rPr>
          <w:rFonts w:hint="eastAsia" w:ascii="宋体" w:hAnsi="宋体" w:eastAsia="宋体" w:cs="宋体"/>
          <w:b/>
          <w:bCs/>
          <w:sz w:val="20"/>
          <w:szCs w:val="20"/>
          <w:lang w:val="en-US" w:eastAsia="zh-Hans"/>
        </w:rPr>
        <w:t>2021年</w:t>
      </w:r>
      <w:r>
        <w:rPr>
          <w:rFonts w:hint="eastAsia" w:ascii="宋体" w:hAnsi="宋体" w:cs="宋体"/>
          <w:b/>
          <w:bCs/>
          <w:sz w:val="20"/>
          <w:szCs w:val="20"/>
          <w:lang w:val="en-US" w:eastAsia="zh-CN"/>
        </w:rPr>
        <w:t>四川省表现突出的原创剧目前十位</w:t>
      </w:r>
    </w:p>
    <w:tbl>
      <w:tblPr>
        <w:tblStyle w:val="14"/>
        <w:tblW w:w="0" w:type="auto"/>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2385"/>
        <w:gridCol w:w="1925"/>
        <w:gridCol w:w="1447"/>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类别</w:t>
            </w:r>
          </w:p>
        </w:tc>
        <w:tc>
          <w:tcPr>
            <w:tcW w:w="238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剧目名称</w:t>
            </w:r>
          </w:p>
        </w:tc>
        <w:tc>
          <w:tcPr>
            <w:tcW w:w="192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演出地点</w:t>
            </w:r>
          </w:p>
        </w:tc>
        <w:tc>
          <w:tcPr>
            <w:tcW w:w="1447"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演出场次</w:t>
            </w:r>
          </w:p>
        </w:tc>
        <w:tc>
          <w:tcPr>
            <w:tcW w:w="1868"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票房（元）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b w:val="0"/>
                <w:bCs w:val="0"/>
                <w:sz w:val="20"/>
                <w:szCs w:val="20"/>
                <w:lang w:val="en-US" w:eastAsia="zh-CN"/>
              </w:rPr>
              <w:t>话剧</w:t>
            </w:r>
          </w:p>
        </w:tc>
        <w:tc>
          <w:tcPr>
            <w:tcW w:w="2386" w:type="dxa"/>
            <w:noWrap w:val="0"/>
            <w:vAlign w:val="center"/>
          </w:tcPr>
          <w:p>
            <w:pPr>
              <w:pStyle w:val="2"/>
              <w:jc w:val="center"/>
              <w:rPr>
                <w:rFonts w:hint="eastAsia" w:ascii="宋体" w:hAnsi="宋体" w:eastAsia="宋体" w:cs="宋体"/>
                <w:b w:val="0"/>
                <w:bCs w:val="0"/>
                <w:sz w:val="20"/>
                <w:szCs w:val="20"/>
                <w:lang w:val="en-US" w:eastAsia="zh-Hans"/>
              </w:rPr>
            </w:pPr>
            <w:r>
              <w:rPr>
                <w:rFonts w:hint="eastAsia" w:ascii="宋体" w:hAnsi="宋体" w:eastAsia="宋体" w:cs="宋体"/>
                <w:b w:val="0"/>
                <w:bCs w:val="0"/>
                <w:sz w:val="20"/>
                <w:szCs w:val="20"/>
                <w:lang w:val="en-US" w:eastAsia="zh-Hans"/>
              </w:rPr>
              <w:t>《如梦之梦》</w:t>
            </w:r>
          </w:p>
          <w:p>
            <w:pPr>
              <w:pStyle w:val="2"/>
              <w:jc w:val="center"/>
              <w:rPr>
                <w:rFonts w:hint="eastAsia" w:ascii="宋体" w:hAnsi="宋体" w:eastAsia="宋体" w:cs="宋体"/>
                <w:kern w:val="2"/>
                <w:sz w:val="20"/>
                <w:szCs w:val="20"/>
                <w:lang w:val="en-US" w:eastAsia="zh-Hans" w:bidi="ar-SA"/>
              </w:rPr>
            </w:pPr>
            <w:r>
              <w:rPr>
                <w:rFonts w:hint="eastAsia" w:ascii="宋体" w:hAnsi="宋体" w:eastAsia="宋体" w:cs="宋体"/>
                <w:b w:val="0"/>
                <w:bCs w:val="0"/>
                <w:sz w:val="20"/>
                <w:szCs w:val="20"/>
                <w:lang w:val="en-US" w:eastAsia="zh-Hans"/>
              </w:rPr>
              <w:t>上座率100%</w:t>
            </w:r>
          </w:p>
        </w:tc>
        <w:tc>
          <w:tcPr>
            <w:tcW w:w="1926" w:type="dxa"/>
            <w:noWrap w:val="0"/>
            <w:vAlign w:val="center"/>
          </w:tcPr>
          <w:p>
            <w:pPr>
              <w:pStyle w:val="2"/>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b w:val="0"/>
                <w:bCs w:val="0"/>
                <w:sz w:val="20"/>
                <w:szCs w:val="20"/>
                <w:lang w:val="en-US" w:eastAsia="zh-CN"/>
              </w:rPr>
              <w:t>四川大剧院</w:t>
            </w:r>
          </w:p>
        </w:tc>
        <w:tc>
          <w:tcPr>
            <w:tcW w:w="1447" w:type="dxa"/>
            <w:noWrap w:val="0"/>
            <w:vAlign w:val="center"/>
          </w:tcPr>
          <w:p>
            <w:pPr>
              <w:pStyle w:val="2"/>
              <w:jc w:val="center"/>
              <w:rPr>
                <w:rFonts w:hint="eastAsia" w:ascii="宋体" w:hAnsi="宋体" w:eastAsia="宋体" w:cs="宋体"/>
                <w:kern w:val="2"/>
                <w:sz w:val="20"/>
                <w:szCs w:val="20"/>
                <w:vertAlign w:val="baseline"/>
                <w:lang w:val="en-US" w:eastAsia="zh-Hans" w:bidi="ar-SA"/>
              </w:rPr>
            </w:pPr>
            <w:r>
              <w:rPr>
                <w:rFonts w:hint="eastAsia" w:ascii="宋体" w:hAnsi="宋体" w:cs="宋体"/>
                <w:sz w:val="20"/>
                <w:szCs w:val="20"/>
                <w:highlight w:val="none"/>
                <w:vertAlign w:val="baseline"/>
                <w:lang w:val="en-US" w:eastAsia="zh-CN"/>
              </w:rPr>
              <w:t>6</w:t>
            </w:r>
          </w:p>
        </w:tc>
        <w:tc>
          <w:tcPr>
            <w:tcW w:w="1868" w:type="dxa"/>
            <w:noWrap w:val="0"/>
            <w:vAlign w:val="center"/>
          </w:tcPr>
          <w:p>
            <w:pPr>
              <w:pStyle w:val="2"/>
              <w:jc w:val="center"/>
              <w:rPr>
                <w:rFonts w:hint="default" w:ascii="宋体" w:hAnsi="宋体" w:eastAsia="宋体" w:cs="宋体"/>
                <w:b w:val="0"/>
                <w:bCs w:val="0"/>
                <w:kern w:val="2"/>
                <w:sz w:val="20"/>
                <w:szCs w:val="20"/>
                <w:lang w:val="en-US" w:eastAsia="zh-Hans" w:bidi="ar-SA"/>
              </w:rPr>
            </w:pPr>
            <w:r>
              <w:rPr>
                <w:rFonts w:hint="eastAsia" w:ascii="宋体" w:hAnsi="宋体" w:cs="宋体"/>
                <w:b w:val="0"/>
                <w:bCs w:val="0"/>
                <w:sz w:val="20"/>
                <w:szCs w:val="20"/>
                <w:highlight w:val="none"/>
                <w:lang w:val="en-US" w:eastAsia="zh-CN"/>
              </w:rPr>
              <w:t>8082200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val="en-US" w:eastAsia="zh-Hans"/>
              </w:rPr>
              <w:t>舞剧</w:t>
            </w:r>
          </w:p>
        </w:tc>
        <w:tc>
          <w:tcPr>
            <w:tcW w:w="238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eastAsia="zh-Hans"/>
              </w:rPr>
              <w:t>《</w:t>
            </w:r>
            <w:r>
              <w:rPr>
                <w:rFonts w:hint="eastAsia" w:ascii="宋体" w:hAnsi="宋体" w:eastAsia="宋体" w:cs="宋体"/>
                <w:b w:val="0"/>
                <w:bCs w:val="0"/>
                <w:sz w:val="20"/>
                <w:szCs w:val="20"/>
                <w:lang w:val="en-US" w:eastAsia="zh-Hans"/>
              </w:rPr>
              <w:t>朱鹮》</w:t>
            </w:r>
          </w:p>
        </w:tc>
        <w:tc>
          <w:tcPr>
            <w:tcW w:w="192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val="en-US" w:eastAsia="zh-CN"/>
              </w:rPr>
              <w:t>四川大剧院</w:t>
            </w:r>
          </w:p>
        </w:tc>
        <w:tc>
          <w:tcPr>
            <w:tcW w:w="1447"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eastAsia="zh-Hans"/>
              </w:rPr>
              <w:t>3</w:t>
            </w:r>
          </w:p>
        </w:tc>
        <w:tc>
          <w:tcPr>
            <w:tcW w:w="1868"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2198446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val="en-US" w:eastAsia="zh-Hans"/>
              </w:rPr>
              <w:t>话剧</w:t>
            </w:r>
          </w:p>
        </w:tc>
        <w:tc>
          <w:tcPr>
            <w:tcW w:w="238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eastAsia="zh-Hans"/>
              </w:rPr>
              <w:t>《</w:t>
            </w:r>
            <w:r>
              <w:rPr>
                <w:rFonts w:hint="eastAsia" w:ascii="宋体" w:hAnsi="宋体" w:eastAsia="宋体" w:cs="宋体"/>
                <w:b w:val="0"/>
                <w:bCs w:val="0"/>
                <w:sz w:val="20"/>
                <w:szCs w:val="20"/>
                <w:lang w:val="en-US" w:eastAsia="zh-Hans"/>
              </w:rPr>
              <w:t>白鹿原》</w:t>
            </w:r>
          </w:p>
        </w:tc>
        <w:tc>
          <w:tcPr>
            <w:tcW w:w="192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val="en-US" w:eastAsia="zh-CN"/>
              </w:rPr>
              <w:t>四川大剧院</w:t>
            </w:r>
          </w:p>
        </w:tc>
        <w:tc>
          <w:tcPr>
            <w:tcW w:w="1447"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w:t>
            </w:r>
          </w:p>
        </w:tc>
        <w:tc>
          <w:tcPr>
            <w:tcW w:w="1868"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2235534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val="en-US" w:eastAsia="zh-Hans"/>
              </w:rPr>
              <w:t>舞剧</w:t>
            </w:r>
          </w:p>
        </w:tc>
        <w:tc>
          <w:tcPr>
            <w:tcW w:w="238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eastAsia="zh-Hans"/>
              </w:rPr>
              <w:t>《</w:t>
            </w:r>
            <w:r>
              <w:rPr>
                <w:rFonts w:hint="eastAsia" w:ascii="宋体" w:hAnsi="宋体" w:eastAsia="宋体" w:cs="宋体"/>
                <w:b w:val="0"/>
                <w:bCs w:val="0"/>
                <w:sz w:val="20"/>
                <w:szCs w:val="20"/>
                <w:lang w:val="en-US" w:eastAsia="zh-Hans"/>
              </w:rPr>
              <w:t>花木兰》</w:t>
            </w:r>
          </w:p>
        </w:tc>
        <w:tc>
          <w:tcPr>
            <w:tcW w:w="192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val="en-US" w:eastAsia="zh-CN"/>
              </w:rPr>
              <w:t>四川大剧院</w:t>
            </w:r>
          </w:p>
        </w:tc>
        <w:tc>
          <w:tcPr>
            <w:tcW w:w="1447"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eastAsia="zh-Hans"/>
              </w:rPr>
              <w:t>2</w:t>
            </w:r>
          </w:p>
        </w:tc>
        <w:tc>
          <w:tcPr>
            <w:tcW w:w="1868"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1055692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舞剧</w:t>
            </w:r>
          </w:p>
        </w:tc>
        <w:tc>
          <w:tcPr>
            <w:tcW w:w="238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eastAsia="zh-Hans"/>
              </w:rPr>
              <w:t>《</w:t>
            </w:r>
            <w:r>
              <w:rPr>
                <w:rFonts w:hint="eastAsia" w:ascii="宋体" w:hAnsi="宋体" w:eastAsia="宋体" w:cs="宋体"/>
                <w:b w:val="0"/>
                <w:bCs w:val="0"/>
                <w:sz w:val="20"/>
                <w:szCs w:val="20"/>
                <w:lang w:val="en-US" w:eastAsia="zh-Hans"/>
              </w:rPr>
              <w:t>孔子</w:t>
            </w:r>
            <w:r>
              <w:rPr>
                <w:rFonts w:hint="eastAsia" w:ascii="宋体" w:hAnsi="宋体" w:eastAsia="宋体" w:cs="宋体"/>
                <w:b w:val="0"/>
                <w:bCs w:val="0"/>
                <w:sz w:val="20"/>
                <w:szCs w:val="20"/>
                <w:lang w:eastAsia="zh-Hans"/>
              </w:rPr>
              <w:t>》</w:t>
            </w:r>
          </w:p>
        </w:tc>
        <w:tc>
          <w:tcPr>
            <w:tcW w:w="192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val="en-US" w:eastAsia="zh-CN"/>
              </w:rPr>
              <w:t>四川大剧院</w:t>
            </w:r>
          </w:p>
        </w:tc>
        <w:tc>
          <w:tcPr>
            <w:tcW w:w="1447"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eastAsia="zh-Hans"/>
              </w:rPr>
              <w:t>2</w:t>
            </w:r>
          </w:p>
        </w:tc>
        <w:tc>
          <w:tcPr>
            <w:tcW w:w="1868"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1355447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音乐会</w:t>
            </w:r>
          </w:p>
        </w:tc>
        <w:tc>
          <w:tcPr>
            <w:tcW w:w="238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eastAsia="zh-Hans"/>
              </w:rPr>
              <w:t>2021</w:t>
            </w:r>
            <w:r>
              <w:rPr>
                <w:rFonts w:hint="eastAsia" w:ascii="宋体" w:hAnsi="宋体" w:eastAsia="宋体" w:cs="宋体"/>
                <w:b w:val="0"/>
                <w:bCs w:val="0"/>
                <w:sz w:val="20"/>
                <w:szCs w:val="20"/>
                <w:lang w:val="en-US" w:eastAsia="zh-Hans"/>
              </w:rPr>
              <w:t>年新年音乐会</w:t>
            </w:r>
          </w:p>
        </w:tc>
        <w:tc>
          <w:tcPr>
            <w:tcW w:w="1926"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b w:val="0"/>
                <w:bCs w:val="0"/>
                <w:sz w:val="20"/>
                <w:szCs w:val="20"/>
                <w:lang w:val="en-US" w:eastAsia="zh-CN"/>
              </w:rPr>
              <w:t>四川大剧院</w:t>
            </w:r>
          </w:p>
        </w:tc>
        <w:tc>
          <w:tcPr>
            <w:tcW w:w="1447" w:type="dxa"/>
            <w:noWrap w:val="0"/>
            <w:vAlign w:val="center"/>
          </w:tcPr>
          <w:p>
            <w:pPr>
              <w:pStyle w:val="2"/>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w:t>
            </w:r>
          </w:p>
        </w:tc>
        <w:tc>
          <w:tcPr>
            <w:tcW w:w="1868"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848452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 xml:space="preserve">音乐剧 </w:t>
            </w:r>
          </w:p>
        </w:tc>
        <w:tc>
          <w:tcPr>
            <w:tcW w:w="2386" w:type="dxa"/>
            <w:noWrap w:val="0"/>
            <w:vAlign w:val="center"/>
          </w:tcPr>
          <w:p>
            <w:pPr>
              <w:pStyle w:val="2"/>
              <w:jc w:val="center"/>
              <w:rPr>
                <w:rFonts w:hint="eastAsia" w:ascii="宋体" w:hAnsi="宋体" w:eastAsia="宋体" w:cs="宋体"/>
                <w:b w:val="0"/>
                <w:bCs w:val="0"/>
                <w:sz w:val="20"/>
                <w:szCs w:val="20"/>
                <w:lang w:val="en-US" w:eastAsia="zh-Hans"/>
              </w:rPr>
            </w:pPr>
            <w:r>
              <w:rPr>
                <w:rFonts w:hint="eastAsia" w:ascii="宋体" w:hAnsi="宋体" w:eastAsia="宋体" w:cs="宋体"/>
                <w:b w:val="0"/>
                <w:bCs w:val="0"/>
                <w:sz w:val="20"/>
                <w:szCs w:val="20"/>
                <w:lang w:val="en-US" w:eastAsia="zh-Hans"/>
              </w:rPr>
              <w:t>《赵氏孤儿》</w:t>
            </w:r>
          </w:p>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上座率100%</w:t>
            </w:r>
          </w:p>
        </w:tc>
        <w:tc>
          <w:tcPr>
            <w:tcW w:w="1926" w:type="dxa"/>
            <w:noWrap w:val="0"/>
            <w:vAlign w:val="center"/>
          </w:tcPr>
          <w:p>
            <w:pPr>
              <w:pStyle w:val="2"/>
              <w:jc w:val="center"/>
              <w:rPr>
                <w:rFonts w:hint="default"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城市音乐厅</w:t>
            </w:r>
          </w:p>
        </w:tc>
        <w:tc>
          <w:tcPr>
            <w:tcW w:w="1447"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2</w:t>
            </w:r>
          </w:p>
        </w:tc>
        <w:tc>
          <w:tcPr>
            <w:tcW w:w="1868" w:type="dxa"/>
            <w:noWrap w:val="0"/>
            <w:vAlign w:val="center"/>
          </w:tcPr>
          <w:p>
            <w:pPr>
              <w:pStyle w:val="2"/>
              <w:jc w:val="center"/>
              <w:rPr>
                <w:rFonts w:hint="default"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140</w:t>
            </w:r>
            <w:r>
              <w:rPr>
                <w:rFonts w:hint="eastAsia" w:ascii="宋体" w:hAnsi="宋体" w:eastAsia="宋体" w:cs="宋体"/>
                <w:b w:val="0"/>
                <w:bCs w:val="0"/>
                <w:sz w:val="20"/>
                <w:szCs w:val="20"/>
                <w:lang w:val="en-US" w:eastAsia="zh-CN"/>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音乐剧</w:t>
            </w:r>
          </w:p>
        </w:tc>
        <w:tc>
          <w:tcPr>
            <w:tcW w:w="2386"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《献给阿尔吉侬的花束》</w:t>
            </w:r>
          </w:p>
        </w:tc>
        <w:tc>
          <w:tcPr>
            <w:tcW w:w="1926"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四川大剧院</w:t>
            </w:r>
          </w:p>
        </w:tc>
        <w:tc>
          <w:tcPr>
            <w:tcW w:w="1447"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2</w:t>
            </w:r>
          </w:p>
        </w:tc>
        <w:tc>
          <w:tcPr>
            <w:tcW w:w="1868"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1129446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儿童剧</w:t>
            </w:r>
          </w:p>
        </w:tc>
        <w:tc>
          <w:tcPr>
            <w:tcW w:w="2386" w:type="dxa"/>
            <w:noWrap w:val="0"/>
            <w:vAlign w:val="center"/>
          </w:tcPr>
          <w:p>
            <w:pPr>
              <w:pStyle w:val="2"/>
              <w:jc w:val="center"/>
              <w:rPr>
                <w:rFonts w:hint="eastAsia" w:ascii="宋体" w:hAnsi="宋体" w:eastAsia="宋体" w:cs="宋体"/>
                <w:b w:val="0"/>
                <w:bCs w:val="0"/>
                <w:sz w:val="20"/>
                <w:szCs w:val="20"/>
                <w:lang w:val="en-US" w:eastAsia="zh-Hans"/>
              </w:rPr>
            </w:pPr>
            <w:r>
              <w:rPr>
                <w:rFonts w:hint="eastAsia" w:ascii="宋体" w:hAnsi="宋体" w:eastAsia="宋体" w:cs="宋体"/>
                <w:b w:val="0"/>
                <w:bCs w:val="0"/>
                <w:sz w:val="20"/>
                <w:szCs w:val="20"/>
                <w:lang w:val="en-US" w:eastAsia="zh-Hans"/>
              </w:rPr>
              <w:t>《奥特曼》</w:t>
            </w:r>
          </w:p>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上座率 95%</w:t>
            </w:r>
          </w:p>
        </w:tc>
        <w:tc>
          <w:tcPr>
            <w:tcW w:w="1926"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四川大剧院</w:t>
            </w:r>
          </w:p>
        </w:tc>
        <w:tc>
          <w:tcPr>
            <w:tcW w:w="1447" w:type="dxa"/>
            <w:noWrap w:val="0"/>
            <w:vAlign w:val="center"/>
          </w:tcPr>
          <w:p>
            <w:pPr>
              <w:pStyle w:val="2"/>
              <w:jc w:val="center"/>
              <w:rPr>
                <w:rFonts w:hint="default" w:ascii="宋体" w:hAnsi="宋体" w:eastAsia="宋体" w:cs="宋体"/>
                <w:b w:val="0"/>
                <w:bCs w:val="0"/>
                <w:sz w:val="20"/>
                <w:szCs w:val="20"/>
                <w:lang w:val="en-US" w:eastAsia="zh-CN"/>
              </w:rPr>
            </w:pPr>
            <w:r>
              <w:rPr>
                <w:rFonts w:hint="eastAsia" w:ascii="宋体" w:hAnsi="宋体" w:cs="宋体"/>
                <w:b w:val="0"/>
                <w:bCs w:val="0"/>
                <w:sz w:val="20"/>
                <w:szCs w:val="20"/>
                <w:lang w:val="en-US" w:eastAsia="zh-CN"/>
              </w:rPr>
              <w:t>3</w:t>
            </w:r>
          </w:p>
        </w:tc>
        <w:tc>
          <w:tcPr>
            <w:tcW w:w="1868"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1054043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 xml:space="preserve">话剧 </w:t>
            </w:r>
          </w:p>
        </w:tc>
        <w:tc>
          <w:tcPr>
            <w:tcW w:w="2386"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《无人生还》</w:t>
            </w:r>
          </w:p>
        </w:tc>
        <w:tc>
          <w:tcPr>
            <w:tcW w:w="1926"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四川大剧院</w:t>
            </w:r>
          </w:p>
        </w:tc>
        <w:tc>
          <w:tcPr>
            <w:tcW w:w="1447"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CN"/>
              </w:rPr>
              <w:t>2</w:t>
            </w:r>
          </w:p>
        </w:tc>
        <w:tc>
          <w:tcPr>
            <w:tcW w:w="1868" w:type="dxa"/>
            <w:noWrap w:val="0"/>
            <w:vAlign w:val="center"/>
          </w:tcPr>
          <w:p>
            <w:pPr>
              <w:pStyle w:val="2"/>
              <w:jc w:val="center"/>
              <w:rPr>
                <w:rFonts w:hint="eastAsia" w:ascii="宋体" w:hAnsi="宋体" w:eastAsia="宋体" w:cs="宋体"/>
                <w:b w:val="0"/>
                <w:bCs w:val="0"/>
                <w:sz w:val="20"/>
                <w:szCs w:val="20"/>
                <w:lang w:val="en-US" w:eastAsia="zh-CN"/>
              </w:rPr>
            </w:pPr>
            <w:r>
              <w:rPr>
                <w:rFonts w:hint="eastAsia" w:ascii="宋体" w:hAnsi="宋体" w:eastAsia="宋体" w:cs="宋体"/>
                <w:b w:val="0"/>
                <w:bCs w:val="0"/>
                <w:sz w:val="20"/>
                <w:szCs w:val="20"/>
                <w:lang w:val="en-US" w:eastAsia="zh-Hans"/>
              </w:rPr>
              <w:t>1050501</w:t>
            </w:r>
          </w:p>
        </w:tc>
      </w:tr>
    </w:tbl>
    <w:p>
      <w:pPr>
        <w:numPr>
          <w:ilvl w:val="0"/>
          <w:numId w:val="0"/>
        </w:numPr>
        <w:jc w:val="left"/>
        <w:rPr>
          <w:rFonts w:hint="eastAsia" w:ascii="仿宋_GB2312" w:hAnsi="仿宋_GB2312" w:eastAsia="仿宋_GB2312" w:cs="仿宋_GB2312"/>
          <w:b/>
          <w:bCs/>
          <w:sz w:val="32"/>
          <w:szCs w:val="32"/>
          <w:lang w:val="en-US" w:eastAsia="zh-CN"/>
        </w:rPr>
      </w:pPr>
    </w:p>
    <w:p>
      <w:pPr>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三、四川省演出市场活动呈现的特点与发展趋势</w:t>
      </w:r>
      <w:r>
        <w:rPr>
          <w:rFonts w:hint="default" w:ascii="楷体" w:hAnsi="楷体" w:eastAsia="楷体" w:cs="楷体"/>
          <w:b w:val="0"/>
          <w:bCs w:val="0"/>
          <w:sz w:val="32"/>
          <w:szCs w:val="32"/>
          <w:lang w:eastAsia="zh-Hans"/>
        </w:rPr>
        <w:t xml:space="preserve"> </w:t>
      </w:r>
      <w:r>
        <w:rPr>
          <w:rFonts w:hint="default" w:ascii="楷体" w:hAnsi="楷体" w:eastAsia="楷体" w:cs="楷体"/>
          <w:b w:val="0"/>
          <w:bCs w:val="0"/>
          <w:sz w:val="30"/>
          <w:szCs w:val="30"/>
          <w:lang w:eastAsia="zh-CN"/>
        </w:rPr>
        <w:t xml:space="preserve">  </w:t>
      </w:r>
      <w:r>
        <w:rPr>
          <w:rFonts w:hint="eastAsia" w:ascii="楷体" w:hAnsi="楷体" w:eastAsia="楷体" w:cs="楷体"/>
          <w:b w:val="0"/>
          <w:bCs w:val="0"/>
          <w:sz w:val="30"/>
          <w:szCs w:val="30"/>
          <w:lang w:val="en-US" w:eastAsia="zh-CN"/>
        </w:rPr>
        <w:t xml:space="preserve">  </w:t>
      </w:r>
    </w:p>
    <w:p>
      <w:pPr>
        <w:numPr>
          <w:ilvl w:val="0"/>
          <w:numId w:val="0"/>
        </w:numPr>
        <w:ind w:firstLine="643" w:firstLine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 音乐类、话剧类仍然是最受欢迎的类型</w:t>
      </w:r>
    </w:p>
    <w:p>
      <w:pPr>
        <w:numPr>
          <w:ilvl w:val="0"/>
          <w:numId w:val="0"/>
        </w:num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从艺术门类来看，音乐会、话剧仍然是最受欢迎的演出类型，演出场次分别占剧场类演出28%和23%；小型、沉浸式音乐剧演出场次和票房收入较2020年增长显著；舞蹈、脱口秀等类别借助综艺节目向线下引流成果显著，票房收入、观众人数明显增长。</w:t>
      </w:r>
    </w:p>
    <w:p>
      <w:pPr>
        <w:numPr>
          <w:ilvl w:val="0"/>
          <w:numId w:val="0"/>
        </w:numPr>
        <w:ind w:firstLine="643" w:firstLineChars="20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 新空间、沉浸式等新业态热度持续上升</w:t>
      </w:r>
    </w:p>
    <w:p>
      <w:pPr>
        <w:numPr>
          <w:ilvl w:val="0"/>
          <w:numId w:val="0"/>
        </w:num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方面，依托演艺新空间等非标准剧场，话剧、音乐剧、儿童剧等市场涌现出更多沉浸式项目，不少沉浸式演出逐渐形成自有品牌，带动持续消费。另一方面，依托个性化场地，沉浸式演出和剧本杀、密室等娱乐项目加速融合，沉浸式娱乐演艺、沉浸式旅游演艺受到更多投资者关注。</w:t>
      </w:r>
    </w:p>
    <w:p>
      <w:pPr>
        <w:numPr>
          <w:ilvl w:val="0"/>
          <w:numId w:val="7"/>
        </w:numPr>
        <w:ind w:left="0" w:leftChars="0" w:firstLine="643" w:firstLineChars="20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IP运营、跨界联合受到更多关注</w:t>
      </w:r>
    </w:p>
    <w:p>
      <w:pPr>
        <w:numPr>
          <w:ilvl w:val="0"/>
          <w:numId w:val="0"/>
        </w:num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2021年IP资源的深度利用在舞台、影视、网综之间实现互联，同一剧目的IP深度开发也有更大的发挥空间。在成功案例的示范效应下，有更多机构关注演艺IP的价值外延拓展，以“演艺+展览”、文创、高清放映、出版物以及与商业机构、制造企业联名打造衍生产品等多种方式，拉动文化消费升级，探索舞台艺术市场更广阔的发展空间。如成都域上和美先锋剧场，不仅有配套经营的中西简餐厅、咖啡厅、火锅店、酒吧，还开发制作了以《成都偷心》为IP符号的背包、文化衫、笔记本等50多种衍生产品，每年收入占剧场总收入的1／4以上。</w:t>
      </w:r>
    </w:p>
    <w:p>
      <w:pPr>
        <w:numPr>
          <w:ilvl w:val="0"/>
          <w:numId w:val="7"/>
        </w:numPr>
        <w:ind w:left="0"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年轻观众对传统文化的关注度和喜爱度增加</w:t>
      </w:r>
    </w:p>
    <w:p>
      <w:pPr>
        <w:numPr>
          <w:ilvl w:val="0"/>
          <w:numId w:val="0"/>
        </w:numPr>
        <w:ind w:firstLine="640" w:firstLineChars="200"/>
        <w:jc w:val="both"/>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val="0"/>
          <w:bCs w:val="0"/>
          <w:sz w:val="32"/>
          <w:szCs w:val="32"/>
          <w:lang w:val="en-US" w:eastAsia="zh-CN"/>
        </w:rPr>
        <w:t>传统文化类剧目颇具辐射力，在年轻观众中形成了独特的传播链。他们因为舞台作品的故事、舞蹈、音乐“入坑”一部剧目，进而学习剧中的舞蹈，模仿主人公的造型，再通过自己的模仿，在生活中把剧目推广给身边人。他们并不只满足于当演出的欣赏者，而是积极寻找自己在其中的“参与感”。</w:t>
      </w:r>
    </w:p>
    <w:p>
      <w:pPr>
        <w:numPr>
          <w:ilvl w:val="0"/>
          <w:numId w:val="0"/>
        </w:numPr>
        <w:ind w:firstLine="643" w:firstLineChars="200"/>
        <w:jc w:val="left"/>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lang w:val="en-US" w:eastAsia="zh-Hans"/>
        </w:rPr>
        <w:t>livehouse等成为市场新增长点</w:t>
      </w:r>
    </w:p>
    <w:p>
      <w:pPr>
        <w:numPr>
          <w:ilvl w:val="0"/>
          <w:numId w:val="0"/>
        </w:numPr>
        <w:ind w:firstLine="640" w:firstLineChars="200"/>
        <w:jc w:val="both"/>
        <w:rPr>
          <w:rFonts w:hint="eastAsia" w:ascii="仿宋_GB2312" w:hAnsi="仿宋_GB2312" w:eastAsia="仿宋_GB2312" w:cs="仿宋_GB2312"/>
          <w:b w:val="0"/>
          <w:bCs w:val="0"/>
          <w:sz w:val="32"/>
          <w:szCs w:val="32"/>
          <w:lang w:val="en-US" w:eastAsia="zh-Hans"/>
        </w:rPr>
      </w:pPr>
      <w:r>
        <w:rPr>
          <w:rFonts w:hint="eastAsia" w:ascii="仿宋_GB2312" w:hAnsi="仿宋_GB2312" w:eastAsia="仿宋_GB2312" w:cs="仿宋_GB2312"/>
          <w:b w:val="0"/>
          <w:bCs w:val="0"/>
          <w:sz w:val="32"/>
          <w:szCs w:val="32"/>
          <w:lang w:val="en-US" w:eastAsia="zh-CN"/>
        </w:rPr>
        <w:t>LiveHouse一般都有顶级的音乐器材和音响设备，非常适合近距离欣赏各种现场音乐。由于观众和艺人距离非常近，因此在Live House中的演出气氛往往远胜于大型的体育馆的效果。</w:t>
      </w:r>
      <w:r>
        <w:rPr>
          <w:rFonts w:hint="eastAsia" w:ascii="仿宋_GB2312" w:hAnsi="仿宋_GB2312" w:eastAsia="仿宋_GB2312" w:cs="仿宋_GB2312"/>
          <w:b w:val="0"/>
          <w:bCs w:val="0"/>
          <w:sz w:val="32"/>
          <w:szCs w:val="32"/>
          <w:lang w:val="en-US" w:eastAsia="zh-Hans"/>
        </w:rPr>
        <w:t>仅秀动票务——2021年livehouse出票1500场，观众达到</w:t>
      </w:r>
      <w:r>
        <w:rPr>
          <w:rFonts w:hint="eastAsia" w:ascii="仿宋_GB2312" w:hAnsi="仿宋_GB2312" w:eastAsia="仿宋_GB2312" w:cs="仿宋_GB2312"/>
          <w:b w:val="0"/>
          <w:bCs w:val="0"/>
          <w:sz w:val="32"/>
          <w:szCs w:val="32"/>
          <w:lang w:val="en-US" w:eastAsia="zh-CN"/>
        </w:rPr>
        <w:t>14.58</w:t>
      </w:r>
      <w:r>
        <w:rPr>
          <w:rFonts w:hint="eastAsia" w:ascii="仿宋_GB2312" w:hAnsi="仿宋_GB2312" w:eastAsia="仿宋_GB2312" w:cs="仿宋_GB2312"/>
          <w:b w:val="0"/>
          <w:bCs w:val="0"/>
          <w:sz w:val="32"/>
          <w:szCs w:val="32"/>
          <w:lang w:val="en-US" w:eastAsia="zh-Hans"/>
        </w:rPr>
        <w:t>万人次 ，票房收入超过3000万元。CH8的3个演艺空间——2021年全年演出160场，接待观众6万人，票房超过1200万元。</w:t>
      </w:r>
      <w:r>
        <w:rPr>
          <w:rFonts w:hint="eastAsia" w:ascii="仿宋_GB2312" w:hAnsi="仿宋_GB2312" w:eastAsia="仿宋_GB2312" w:cs="仿宋_GB2312"/>
          <w:b w:val="0"/>
          <w:bCs w:val="0"/>
          <w:sz w:val="32"/>
          <w:szCs w:val="32"/>
          <w:lang w:val="en-US" w:eastAsia="zh-CN"/>
        </w:rPr>
        <w:t>由于演出场地距离观众比较近，观众可以跟演出者近距离接触，现场尤其热烈，给人一种沉浸的氛围，由此而大受人们追捧。在疫情之后，越来越多的年轻人开始到线下场景体验现场演出。豪不夸张的说，2021年发展最迅猛的消费业态，就是裹胁着“夜生活”外衣的小酒馆和Live house。</w:t>
      </w:r>
      <w:r>
        <w:rPr>
          <w:rFonts w:hint="eastAsia" w:ascii="仿宋_GB2312" w:hAnsi="仿宋_GB2312" w:eastAsia="仿宋_GB2312" w:cs="仿宋_GB2312"/>
          <w:b w:val="0"/>
          <w:bCs w:val="0"/>
          <w:sz w:val="32"/>
          <w:szCs w:val="32"/>
          <w:lang w:val="en-US" w:eastAsia="zh-Hans"/>
        </w:rPr>
        <w:t>由于受疫情影响，在大型体育场馆等举办的大型演唱会与音乐节的演出减少，很多不是顶流一线的歌手与独立乐队都是通过livehouse进行演出。</w:t>
      </w:r>
    </w:p>
    <w:p>
      <w:pPr>
        <w:jc w:val="center"/>
        <w:rPr>
          <w:rFonts w:hint="eastAsia" w:ascii="方正小标宋简体" w:hAnsi="方正小标宋简体" w:eastAsia="方正小标宋简体" w:cs="方正小标宋简体"/>
          <w:b w:val="0"/>
          <w:bCs w:val="0"/>
          <w:sz w:val="32"/>
          <w:szCs w:val="32"/>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pStyle w:val="2"/>
        <w:rPr>
          <w:rFonts w:hint="eastAsia"/>
        </w:rPr>
      </w:pPr>
    </w:p>
    <w:p>
      <w:pPr>
        <w:jc w:val="center"/>
        <w:rPr>
          <w:rFonts w:hint="eastAsia" w:ascii="方正小标宋简体" w:hAnsi="方正小标宋简体" w:eastAsia="方正小标宋简体" w:cs="方正小标宋简体"/>
          <w:b w:val="0"/>
          <w:bCs w:val="0"/>
          <w:sz w:val="44"/>
          <w:szCs w:val="44"/>
        </w:rPr>
      </w:pPr>
      <w:bookmarkStart w:id="48" w:name="_Toc245558655"/>
    </w:p>
    <w:p>
      <w:pPr>
        <w:jc w:val="center"/>
        <w:rPr>
          <w:rFonts w:hint="eastAsia" w:ascii="方正小标宋简体" w:hAnsi="方正小标宋简体" w:eastAsia="方正小标宋简体" w:cs="方正小标宋简体"/>
          <w:b w:val="0"/>
          <w:bCs w:val="0"/>
          <w:sz w:val="44"/>
          <w:szCs w:val="44"/>
        </w:rPr>
      </w:pPr>
    </w:p>
    <w:p>
      <w:pPr>
        <w:pStyle w:val="2"/>
        <w:rPr>
          <w:rFonts w:hint="eastAsia" w:ascii="方正小标宋简体" w:hAnsi="方正小标宋简体" w:eastAsia="方正小标宋简体" w:cs="方正小标宋简体"/>
          <w:b w:val="0"/>
          <w:bCs w:val="0"/>
          <w:sz w:val="44"/>
          <w:szCs w:val="44"/>
        </w:rPr>
      </w:pPr>
    </w:p>
    <w:p>
      <w:pPr>
        <w:rPr>
          <w:rFonts w:hint="eastAsia" w:ascii="方正小标宋简体" w:hAnsi="方正小标宋简体" w:eastAsia="方正小标宋简体" w:cs="方正小标宋简体"/>
          <w:b w:val="0"/>
          <w:bCs w:val="0"/>
          <w:sz w:val="44"/>
          <w:szCs w:val="44"/>
        </w:rPr>
      </w:pPr>
    </w:p>
    <w:p>
      <w:pPr>
        <w:pStyle w:val="2"/>
        <w:rPr>
          <w:rFonts w:hint="eastAsia"/>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第七章</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2021年</w:t>
      </w:r>
      <w:r>
        <w:rPr>
          <w:rFonts w:hint="eastAsia" w:ascii="方正小标宋简体" w:hAnsi="方正小标宋简体" w:eastAsia="方正小标宋简体" w:cs="方正小标宋简体"/>
          <w:b w:val="0"/>
          <w:bCs w:val="0"/>
          <w:sz w:val="44"/>
          <w:szCs w:val="44"/>
          <w:lang w:val="en-US" w:eastAsia="zh-CN"/>
        </w:rPr>
        <w:t>四川省</w:t>
      </w:r>
      <w:r>
        <w:rPr>
          <w:rFonts w:hint="eastAsia" w:ascii="方正小标宋简体" w:hAnsi="方正小标宋简体" w:eastAsia="方正小标宋简体" w:cs="方正小标宋简体"/>
          <w:b w:val="0"/>
          <w:bCs w:val="0"/>
          <w:sz w:val="44"/>
          <w:szCs w:val="44"/>
        </w:rPr>
        <w:t>旅游演</w:t>
      </w:r>
      <w:r>
        <w:rPr>
          <w:rFonts w:hint="eastAsia" w:ascii="方正小标宋简体" w:hAnsi="方正小标宋简体" w:eastAsia="方正小标宋简体" w:cs="方正小标宋简体"/>
          <w:b w:val="0"/>
          <w:bCs w:val="0"/>
          <w:sz w:val="44"/>
          <w:szCs w:val="44"/>
          <w:lang w:val="en-US" w:eastAsia="zh-CN"/>
        </w:rPr>
        <w:t>艺</w:t>
      </w:r>
      <w:r>
        <w:rPr>
          <w:rFonts w:hint="eastAsia" w:ascii="方正小标宋简体" w:hAnsi="方正小标宋简体" w:eastAsia="方正小标宋简体" w:cs="方正小标宋简体"/>
          <w:b w:val="0"/>
          <w:bCs w:val="0"/>
          <w:sz w:val="44"/>
          <w:szCs w:val="44"/>
        </w:rPr>
        <w:t>状况分析</w:t>
      </w:r>
    </w:p>
    <w:p>
      <w:pPr>
        <w:rPr>
          <w:rFonts w:hint="eastAsia" w:ascii="宋体" w:hAnsi="宋体" w:eastAsia="宋体" w:cs="宋体"/>
          <w:b/>
          <w:bCs/>
          <w:sz w:val="32"/>
          <w:szCs w:val="32"/>
        </w:rPr>
      </w:pPr>
    </w:p>
    <w:p>
      <w:pPr>
        <w:numPr>
          <w:ilvl w:val="0"/>
          <w:numId w:val="0"/>
        </w:numPr>
        <w:ind w:firstLine="640" w:firstLineChars="200"/>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一、四川省旅游演艺项目基本情况</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pPr>
      <w:r>
        <w:rPr>
          <w:rFonts w:hint="eastAsia" w:ascii="仿宋_GB2312" w:hAnsi="仿宋_GB2312" w:eastAsia="仿宋_GB2312" w:cs="仿宋_GB2312"/>
          <w:b w:val="0"/>
          <w:bCs w:val="0"/>
          <w:sz w:val="32"/>
          <w:szCs w:val="32"/>
          <w:lang w:val="en-US" w:eastAsia="zh-CN"/>
        </w:rPr>
        <w:t>2021年四川省主要驻场旅游演艺项目29个，投入商业营运的项目22个。受疫情影响《圣象峨眉》《道解都江堰》《川剧变脸秀》《李白归来》《川·乐安仁》等暂停商业演出，《巴山夜雨》仅公益汇报演出暂未投入商业运营，而新增演艺项目《西羌传奇》在2020年创编制作后因疫情影响未对外公演。旅游演艺项目共演出3481场，接待游客169.6350万人次，票房收入38903.2392万元。演出场次占2021年全国旅游演艺总场次（7.48万场）的4.65%，票房收入占全国旅游演艺总票房收入（42.21亿元）的9.22%。</w:t>
      </w:r>
    </w:p>
    <w:p>
      <w:pPr>
        <w:pStyle w:val="17"/>
        <w:jc w:val="center"/>
      </w:pPr>
      <w:r>
        <w:drawing>
          <wp:inline distT="0" distB="0" distL="114300" distR="114300">
            <wp:extent cx="4772660" cy="2876550"/>
            <wp:effectExtent l="4445" t="4445" r="23495" b="14605"/>
            <wp:docPr id="37" name="图表 1" descr="7b0a202020202263686172745265734964223a20223837333737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
      <w:pPr>
        <w:numPr>
          <w:ilvl w:val="0"/>
          <w:numId w:val="0"/>
        </w:numPr>
        <w:jc w:val="center"/>
        <w:rPr>
          <w:rFonts w:hint="default" w:ascii="宋体" w:hAnsi="宋体" w:eastAsia="宋体" w:cs="宋体"/>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1  2021年度四川旅游演艺场次全国占比</w:t>
      </w:r>
    </w:p>
    <w:p>
      <w:pPr>
        <w:pStyle w:val="17"/>
      </w:pPr>
    </w:p>
    <w:p/>
    <w:p>
      <w:pPr>
        <w:rPr>
          <w:rFonts w:hint="eastAsia" w:ascii="仿宋_GB2312" w:hAnsi="仿宋_GB2312" w:eastAsia="仿宋_GB2312" w:cs="仿宋_GB2312"/>
          <w:b w:val="0"/>
          <w:bCs w:val="0"/>
          <w:sz w:val="32"/>
          <w:szCs w:val="32"/>
          <w:lang w:val="en-US" w:eastAsia="zh-CN"/>
        </w:rPr>
      </w:pPr>
    </w:p>
    <w:p>
      <w:pPr>
        <w:pStyle w:val="17"/>
        <w:jc w:val="center"/>
        <w:rPr>
          <w:rFonts w:hint="eastAsia" w:ascii="仿宋_GB2312" w:hAnsi="仿宋_GB2312" w:eastAsia="仿宋_GB2312" w:cs="仿宋_GB2312"/>
          <w:b w:val="0"/>
          <w:bCs w:val="0"/>
          <w:sz w:val="32"/>
          <w:szCs w:val="32"/>
          <w:lang w:val="en-US" w:eastAsia="zh-CN"/>
        </w:rPr>
      </w:pPr>
      <w:r>
        <w:drawing>
          <wp:inline distT="0" distB="0" distL="114300" distR="114300">
            <wp:extent cx="4390390" cy="2790825"/>
            <wp:effectExtent l="4445" t="4445" r="5715" b="5080"/>
            <wp:docPr id="38" name="图表 2" descr="7b0a202020202263686172745265734964223a20223837333737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numPr>
          <w:ilvl w:val="0"/>
          <w:numId w:val="0"/>
        </w:numPr>
        <w:jc w:val="center"/>
        <w:rPr>
          <w:rFonts w:hint="default" w:ascii="宋体" w:hAnsi="宋体" w:eastAsia="宋体" w:cs="宋体"/>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2  2021年度四川省旅游演艺票房全国占比</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旅游演艺项目在进入2021年最大的变化是多部投资上亿元的项目孵化成功。截止2019年，投资上亿元旅游演艺项目只有《道解都江堰》《九寨千古情》《梦境光雾山》三个项目。从2019年后新增了多个投资上亿元的旅游演艺项目，包括投资8.19亿元的《只有峨眉山》、投资1.5亿元的 《梦境光雾山》、投资3.5亿元的《斯古拉》、投资2亿的《梦回巴国》、投资1.8亿元的《恩阳船说》、以及投资10亿元的《丝路神灯》。近三年投资上亿元的旅游演艺项目从原来3个增加了5个达到了8个。</w:t>
      </w:r>
    </w:p>
    <w:p>
      <w:pPr>
        <w:pStyle w:val="17"/>
        <w:jc w:val="center"/>
        <w:rPr>
          <w:rFonts w:hint="eastAsia" w:ascii="仿宋_GB2312" w:hAnsi="仿宋_GB2312" w:eastAsia="仿宋_GB2312" w:cs="仿宋_GB2312"/>
          <w:b w:val="0"/>
          <w:bCs w:val="0"/>
          <w:sz w:val="32"/>
          <w:szCs w:val="32"/>
          <w:lang w:val="en-US" w:eastAsia="zh-CN"/>
        </w:rPr>
      </w:pPr>
      <w:r>
        <w:drawing>
          <wp:inline distT="0" distB="0" distL="114300" distR="114300">
            <wp:extent cx="5207635" cy="2600960"/>
            <wp:effectExtent l="4445" t="4445" r="7620" b="61595"/>
            <wp:docPr id="4" name="图表 3" descr="7b0a202020202263686172745265734964223a202232303335323639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numPr>
          <w:ilvl w:val="0"/>
          <w:numId w:val="0"/>
        </w:numPr>
        <w:jc w:val="center"/>
        <w:rPr>
          <w:rFonts w:hint="default" w:ascii="宋体" w:hAnsi="宋体" w:eastAsia="宋体" w:cs="宋体"/>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cs="宋体"/>
          <w:sz w:val="20"/>
          <w:szCs w:val="20"/>
          <w:lang w:val="en-US" w:eastAsia="zh-CN"/>
        </w:rPr>
        <w:t>3</w:t>
      </w:r>
      <w:r>
        <w:rPr>
          <w:rStyle w:val="19"/>
          <w:rFonts w:hint="eastAsia" w:ascii="宋体" w:hAnsi="宋体" w:eastAsia="宋体" w:cs="宋体"/>
          <w:sz w:val="20"/>
          <w:szCs w:val="20"/>
          <w:lang w:val="en-US" w:eastAsia="zh-CN"/>
        </w:rPr>
        <w:t xml:space="preserve">  2019年后四川投资上亿元的旅游演艺项目</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0"/>
          <w:szCs w:val="20"/>
          <w:lang w:val="en-US" w:eastAsia="zh-Hans"/>
        </w:rPr>
      </w:pPr>
      <w:r>
        <w:rPr>
          <w:rFonts w:hint="eastAsia" w:ascii="宋体" w:hAnsi="宋体" w:cs="宋体"/>
          <w:b/>
          <w:bCs/>
          <w:sz w:val="20"/>
          <w:szCs w:val="20"/>
          <w:lang w:val="en-US" w:eastAsia="zh-CN"/>
        </w:rPr>
        <w:t xml:space="preserve"> </w:t>
      </w: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 xml:space="preserve">4  </w:t>
      </w:r>
      <w:r>
        <w:rPr>
          <w:rFonts w:hint="eastAsia" w:ascii="宋体" w:hAnsi="宋体" w:eastAsia="宋体" w:cs="宋体"/>
          <w:b/>
          <w:bCs/>
          <w:sz w:val="20"/>
          <w:szCs w:val="20"/>
        </w:rPr>
        <w:t>2021</w:t>
      </w:r>
      <w:r>
        <w:rPr>
          <w:rFonts w:hint="eastAsia" w:ascii="宋体" w:hAnsi="宋体" w:eastAsia="宋体" w:cs="宋体"/>
          <w:b/>
          <w:bCs/>
          <w:sz w:val="20"/>
          <w:szCs w:val="20"/>
          <w:lang w:val="en-US" w:eastAsia="zh-Hans"/>
        </w:rPr>
        <w:t>年全省主要驻场旅游演艺项目一栏表</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（按投入运营时间）</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549"/>
        <w:gridCol w:w="2521"/>
        <w:gridCol w:w="1564"/>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jc w:val="center"/>
        </w:trPr>
        <w:tc>
          <w:tcPr>
            <w:tcW w:w="754"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序号</w:t>
            </w:r>
          </w:p>
        </w:tc>
        <w:tc>
          <w:tcPr>
            <w:tcW w:w="1549"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项目名称</w:t>
            </w:r>
          </w:p>
        </w:tc>
        <w:tc>
          <w:tcPr>
            <w:tcW w:w="252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所在地</w:t>
            </w:r>
          </w:p>
        </w:tc>
        <w:tc>
          <w:tcPr>
            <w:tcW w:w="1564"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首演时间</w:t>
            </w:r>
          </w:p>
        </w:tc>
        <w:tc>
          <w:tcPr>
            <w:tcW w:w="1676"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754"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p>
        </w:tc>
        <w:tc>
          <w:tcPr>
            <w:tcW w:w="1549"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p>
        </w:tc>
        <w:tc>
          <w:tcPr>
            <w:tcW w:w="252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p>
        </w:tc>
        <w:tc>
          <w:tcPr>
            <w:tcW w:w="1564"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p>
        </w:tc>
        <w:tc>
          <w:tcPr>
            <w:tcW w:w="167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1</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蜀风雅韵</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成都文化公园</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1998年7月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2</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芙蓉国粹</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四川省川剧院剧场</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2005年4月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3</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羌 魂</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Hans"/>
              </w:rPr>
              <w:t>茂县中国古羌城</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2008年11月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4</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圣象峨眉</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Hans"/>
              </w:rPr>
              <w:t>峨眉山象城大剧院</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2009</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8</w:t>
            </w:r>
            <w:r>
              <w:rPr>
                <w:rFonts w:hint="eastAsia" w:ascii="宋体" w:hAnsi="宋体" w:eastAsia="宋体" w:cs="宋体"/>
                <w:sz w:val="20"/>
                <w:szCs w:val="20"/>
                <w:vertAlign w:val="baseline"/>
                <w:lang w:val="en-US" w:eastAsia="zh-Hans"/>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5</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乐舞三国</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Hans"/>
              </w:rPr>
              <w:t>成都武侯寺结义楼</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2013年</w:t>
            </w:r>
            <w:r>
              <w:rPr>
                <w:rFonts w:hint="eastAsia" w:ascii="宋体" w:hAnsi="宋体" w:eastAsia="宋体" w:cs="宋体"/>
                <w:sz w:val="20"/>
                <w:szCs w:val="20"/>
                <w:vertAlign w:val="baseline"/>
                <w:lang w:eastAsia="zh-Hans"/>
              </w:rPr>
              <w:t>6</w:t>
            </w:r>
            <w:r>
              <w:rPr>
                <w:rFonts w:hint="eastAsia" w:ascii="宋体" w:hAnsi="宋体" w:eastAsia="宋体" w:cs="宋体"/>
                <w:sz w:val="20"/>
                <w:szCs w:val="20"/>
                <w:vertAlign w:val="baseline"/>
                <w:lang w:val="en-US" w:eastAsia="zh-Hans"/>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6</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传奇变脸秀</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Hans"/>
              </w:rPr>
              <w:t>成都川剧艺术中心</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2013</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10</w:t>
            </w:r>
            <w:r>
              <w:rPr>
                <w:rFonts w:hint="eastAsia" w:ascii="宋体" w:hAnsi="宋体" w:eastAsia="宋体" w:cs="宋体"/>
                <w:sz w:val="20"/>
                <w:szCs w:val="20"/>
                <w:vertAlign w:val="baseline"/>
                <w:lang w:val="en-US" w:eastAsia="zh-Hans"/>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7</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蜀汉百戏</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Hans"/>
              </w:rPr>
              <w:t>成都武侯寺结义楼</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2013年10月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8</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乌蒙沐歌</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CN"/>
              </w:rPr>
              <w:t>乐山沐川沐源广场</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2013年10月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9</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道解都江堰</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都江堰景区</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2014</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3</w:t>
            </w:r>
            <w:r>
              <w:rPr>
                <w:rFonts w:hint="eastAsia" w:ascii="宋体" w:hAnsi="宋体" w:eastAsia="宋体" w:cs="宋体"/>
                <w:sz w:val="20"/>
                <w:szCs w:val="20"/>
                <w:vertAlign w:val="baseline"/>
                <w:lang w:val="en-US" w:eastAsia="zh-Hans"/>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10</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九寨千古情</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CN"/>
              </w:rPr>
              <w:t>九寨沟漳扎镇</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2014</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5</w:t>
            </w:r>
            <w:r>
              <w:rPr>
                <w:rFonts w:hint="eastAsia" w:ascii="宋体" w:hAnsi="宋体" w:eastAsia="宋体" w:cs="宋体"/>
                <w:sz w:val="20"/>
                <w:szCs w:val="20"/>
                <w:vertAlign w:val="baseline"/>
                <w:lang w:val="en-US" w:eastAsia="zh-Hans"/>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主题公园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11</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阆苑仙境</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CN"/>
              </w:rPr>
              <w:t>阆中南津关古镇</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2015年2月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室外沉浸实景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12</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阿惹妞</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西昌火把广场</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2016年8月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13</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走进贡嘎</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甘孜州海螺沟</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2017</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9</w:t>
            </w:r>
            <w:r>
              <w:rPr>
                <w:rFonts w:hint="eastAsia" w:ascii="宋体" w:hAnsi="宋体" w:eastAsia="宋体" w:cs="宋体"/>
                <w:sz w:val="20"/>
                <w:szCs w:val="20"/>
                <w:vertAlign w:val="baseline"/>
                <w:lang w:val="en-US" w:eastAsia="zh-Hans"/>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14</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今日今时安仁</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大邑县安仁镇</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2018年8月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室外沉浸实景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15</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川·乐安仁</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大邑县安仁镇</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2018年</w:t>
            </w:r>
            <w:r>
              <w:rPr>
                <w:rFonts w:hint="eastAsia" w:ascii="宋体" w:hAnsi="宋体" w:eastAsia="宋体" w:cs="宋体"/>
                <w:sz w:val="20"/>
                <w:szCs w:val="20"/>
                <w:vertAlign w:val="baseline"/>
                <w:lang w:eastAsia="zh-Hans"/>
              </w:rPr>
              <w:t>9</w:t>
            </w:r>
            <w:r>
              <w:rPr>
                <w:rFonts w:hint="eastAsia" w:ascii="宋体" w:hAnsi="宋体" w:eastAsia="宋体" w:cs="宋体"/>
                <w:sz w:val="20"/>
                <w:szCs w:val="20"/>
                <w:vertAlign w:val="baseline"/>
                <w:lang w:val="en-US" w:eastAsia="zh-Hans"/>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室外沉浸实景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16</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飞夺泸定桥</w:t>
            </w:r>
          </w:p>
        </w:tc>
        <w:tc>
          <w:tcPr>
            <w:tcW w:w="2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泸定县</w:t>
            </w:r>
            <w:r>
              <w:rPr>
                <w:rFonts w:hint="eastAsia" w:ascii="宋体" w:hAnsi="宋体" w:eastAsia="宋体" w:cs="宋体"/>
                <w:kern w:val="2"/>
                <w:sz w:val="20"/>
                <w:szCs w:val="20"/>
                <w:vertAlign w:val="baseline"/>
                <w:lang w:val="en-US" w:eastAsia="zh-CN" w:bidi="ar-SA"/>
              </w:rPr>
              <w:t>沙坝纪念碑公园</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eastAsia="zh-Hans" w:bidi="ar-SA"/>
              </w:rPr>
              <w:t>2019</w:t>
            </w:r>
            <w:r>
              <w:rPr>
                <w:rFonts w:hint="eastAsia" w:ascii="宋体" w:hAnsi="宋体" w:eastAsia="宋体" w:cs="宋体"/>
                <w:kern w:val="2"/>
                <w:sz w:val="20"/>
                <w:szCs w:val="20"/>
                <w:vertAlign w:val="baseline"/>
                <w:lang w:val="en-US" w:eastAsia="zh-Hans" w:bidi="ar-SA"/>
              </w:rPr>
              <w:t>年</w:t>
            </w:r>
            <w:r>
              <w:rPr>
                <w:rFonts w:hint="eastAsia" w:ascii="宋体" w:hAnsi="宋体" w:eastAsia="宋体" w:cs="宋体"/>
                <w:kern w:val="2"/>
                <w:sz w:val="20"/>
                <w:szCs w:val="20"/>
                <w:vertAlign w:val="baseline"/>
                <w:lang w:eastAsia="zh-Hans" w:bidi="ar-SA"/>
              </w:rPr>
              <w:t>5</w:t>
            </w:r>
            <w:r>
              <w:rPr>
                <w:rFonts w:hint="eastAsia" w:ascii="宋体" w:hAnsi="宋体" w:eastAsia="宋体" w:cs="宋体"/>
                <w:kern w:val="2"/>
                <w:sz w:val="20"/>
                <w:szCs w:val="20"/>
                <w:vertAlign w:val="baseline"/>
                <w:lang w:val="en-US" w:eastAsia="zh-Hans" w:bidi="ar-SA"/>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17</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李白归来</w:t>
            </w:r>
          </w:p>
        </w:tc>
        <w:tc>
          <w:tcPr>
            <w:tcW w:w="2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江油李白文化艺术中心</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eastAsia="zh-Hans" w:bidi="ar-SA"/>
              </w:rPr>
              <w:t>2019</w:t>
            </w:r>
            <w:r>
              <w:rPr>
                <w:rFonts w:hint="eastAsia" w:ascii="宋体" w:hAnsi="宋体" w:eastAsia="宋体" w:cs="宋体"/>
                <w:kern w:val="2"/>
                <w:sz w:val="20"/>
                <w:szCs w:val="20"/>
                <w:vertAlign w:val="baseline"/>
                <w:lang w:val="en-US" w:eastAsia="zh-Hans" w:bidi="ar-SA"/>
              </w:rPr>
              <w:t>年</w:t>
            </w:r>
            <w:r>
              <w:rPr>
                <w:rFonts w:hint="eastAsia" w:ascii="宋体" w:hAnsi="宋体" w:eastAsia="宋体" w:cs="宋体"/>
                <w:kern w:val="2"/>
                <w:sz w:val="20"/>
                <w:szCs w:val="20"/>
                <w:vertAlign w:val="baseline"/>
                <w:lang w:eastAsia="zh-Hans" w:bidi="ar-SA"/>
              </w:rPr>
              <w:t>5</w:t>
            </w:r>
            <w:r>
              <w:rPr>
                <w:rFonts w:hint="eastAsia" w:ascii="宋体" w:hAnsi="宋体" w:eastAsia="宋体" w:cs="宋体"/>
                <w:kern w:val="2"/>
                <w:sz w:val="20"/>
                <w:szCs w:val="20"/>
                <w:vertAlign w:val="baseline"/>
                <w:lang w:val="en-US" w:eastAsia="zh-Hans" w:bidi="ar-SA"/>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18</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梦境光雾山</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巴中光雾山</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2019年8月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室外沉浸实景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19</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只有峨眉山</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峨眉山市</w:t>
            </w:r>
            <w:r>
              <w:rPr>
                <w:rFonts w:hint="eastAsia" w:ascii="宋体" w:hAnsi="宋体" w:eastAsia="宋体" w:cs="宋体"/>
                <w:sz w:val="20"/>
                <w:szCs w:val="20"/>
                <w:vertAlign w:val="baseline"/>
                <w:lang w:val="en-US" w:eastAsia="zh-CN"/>
              </w:rPr>
              <w:t>川主镇</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2019年9月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室内沉浸实景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color w:val="000000" w:themeColor="text1"/>
                <w:sz w:val="20"/>
                <w:szCs w:val="20"/>
                <w:vertAlign w:val="baseline"/>
                <w:lang w:val="en-US" w:eastAsia="zh-CN"/>
                <w14:textFill>
                  <w14:solidFill>
                    <w14:schemeClr w14:val="tx1"/>
                  </w14:solidFill>
                </w14:textFill>
              </w:rPr>
              <w:t>瓮城传奇</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松潘县</w:t>
            </w:r>
            <w:r>
              <w:rPr>
                <w:rFonts w:hint="eastAsia" w:ascii="宋体" w:hAnsi="宋体" w:eastAsia="宋体" w:cs="宋体"/>
                <w:color w:val="000000" w:themeColor="text1"/>
                <w:sz w:val="20"/>
                <w:szCs w:val="20"/>
                <w:vertAlign w:val="baseline"/>
                <w:lang w:val="en-US" w:eastAsia="zh-CN"/>
                <w14:textFill>
                  <w14:solidFill>
                    <w14:schemeClr w14:val="tx1"/>
                  </w14:solidFill>
                </w14:textFill>
              </w:rPr>
              <w:t>瓮城</w:t>
            </w:r>
            <w:r>
              <w:rPr>
                <w:rFonts w:hint="eastAsia" w:ascii="宋体" w:hAnsi="宋体" w:eastAsia="宋体" w:cs="宋体"/>
                <w:color w:val="000000" w:themeColor="text1"/>
                <w:sz w:val="20"/>
                <w:szCs w:val="20"/>
                <w:vertAlign w:val="baseline"/>
                <w:lang w:val="en-US" w:eastAsia="zh-Hans"/>
                <w14:textFill>
                  <w14:solidFill>
                    <w14:schemeClr w14:val="tx1"/>
                  </w14:solidFill>
                </w14:textFill>
              </w:rPr>
              <w:t>遗址</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2019</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9</w:t>
            </w:r>
            <w:r>
              <w:rPr>
                <w:rFonts w:hint="eastAsia" w:ascii="宋体" w:hAnsi="宋体" w:eastAsia="宋体" w:cs="宋体"/>
                <w:sz w:val="20"/>
                <w:szCs w:val="20"/>
                <w:vertAlign w:val="baseline"/>
                <w:lang w:val="en-US" w:eastAsia="zh-Hans"/>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室外沉浸实景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eastAsia="zh-Hans" w:bidi="ar-SA"/>
              </w:rPr>
              <w:t>21</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巴山夜雨</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Hans"/>
              </w:rPr>
              <w:t>南江县光雾山文艺中心</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eastAsia="zh-Hans" w:bidi="ar-SA"/>
              </w:rPr>
              <w:t>2019</w:t>
            </w:r>
            <w:r>
              <w:rPr>
                <w:rFonts w:hint="eastAsia" w:ascii="宋体" w:hAnsi="宋体" w:eastAsia="宋体" w:cs="宋体"/>
                <w:kern w:val="2"/>
                <w:sz w:val="20"/>
                <w:szCs w:val="20"/>
                <w:vertAlign w:val="baseline"/>
                <w:lang w:val="en-US" w:eastAsia="zh-Hans" w:bidi="ar-SA"/>
              </w:rPr>
              <w:t>年</w:t>
            </w:r>
            <w:r>
              <w:rPr>
                <w:rFonts w:hint="eastAsia" w:ascii="宋体" w:hAnsi="宋体" w:eastAsia="宋体" w:cs="宋体"/>
                <w:kern w:val="2"/>
                <w:sz w:val="20"/>
                <w:szCs w:val="20"/>
                <w:vertAlign w:val="baseline"/>
                <w:lang w:eastAsia="zh-Hans" w:bidi="ar-SA"/>
              </w:rPr>
              <w:t>10</w:t>
            </w:r>
            <w:r>
              <w:rPr>
                <w:rFonts w:hint="eastAsia" w:ascii="宋体" w:hAnsi="宋体" w:eastAsia="宋体" w:cs="宋体"/>
                <w:kern w:val="2"/>
                <w:sz w:val="20"/>
                <w:szCs w:val="20"/>
                <w:vertAlign w:val="baseline"/>
                <w:lang w:val="en-US" w:eastAsia="zh-Hans" w:bidi="ar-SA"/>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22</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葭萌春秋</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广元市昭化古城</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202</w:t>
            </w:r>
            <w:r>
              <w:rPr>
                <w:rFonts w:hint="eastAsia" w:ascii="宋体" w:hAnsi="宋体" w:eastAsia="宋体" w:cs="宋体"/>
                <w:sz w:val="20"/>
                <w:szCs w:val="20"/>
                <w:vertAlign w:val="baseline"/>
                <w:lang w:eastAsia="zh-Hans"/>
              </w:rPr>
              <w:t>0</w:t>
            </w:r>
            <w:r>
              <w:rPr>
                <w:rFonts w:hint="eastAsia" w:ascii="宋体" w:hAnsi="宋体" w:eastAsia="宋体" w:cs="宋体"/>
                <w:sz w:val="20"/>
                <w:szCs w:val="20"/>
                <w:vertAlign w:val="baseline"/>
                <w:lang w:val="en-US" w:eastAsia="zh-Hans"/>
              </w:rPr>
              <w:t>年9月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室外沉浸实景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23</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梦回巴国</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宣汉巴山大峡谷</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2020年9月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24</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斯古拉</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小金县四姑娘山</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2020年10月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kern w:val="2"/>
                <w:sz w:val="20"/>
                <w:szCs w:val="20"/>
                <w:vertAlign w:val="baseline"/>
                <w:lang w:val="en-US" w:eastAsia="zh-Hans" w:bidi="ar-SA"/>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25</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登嘎甘</w:t>
            </w:r>
            <w:r>
              <w:rPr>
                <w:rFonts w:hint="eastAsia" w:ascii="宋体" w:hAnsi="宋体" w:cs="宋体"/>
                <w:sz w:val="20"/>
                <w:szCs w:val="20"/>
                <w:vertAlign w:val="baseline"/>
                <w:lang w:val="en-US" w:eastAsia="zh-CN"/>
              </w:rPr>
              <w:t>㑇</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CN"/>
              </w:rPr>
              <w:t>九寨沟漳扎镇</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2020年11月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室内剧场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eastAsia="zh-Hans" w:bidi="ar-SA"/>
              </w:rPr>
              <w:t>26</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CN"/>
              </w:rPr>
              <w:t>西羌传奇</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北川九皇山</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eastAsia="zh-Hans" w:bidi="ar-SA"/>
              </w:rPr>
              <w:t>2020</w:t>
            </w:r>
            <w:r>
              <w:rPr>
                <w:rFonts w:hint="eastAsia" w:ascii="宋体" w:hAnsi="宋体" w:eastAsia="宋体" w:cs="宋体"/>
                <w:kern w:val="2"/>
                <w:sz w:val="20"/>
                <w:szCs w:val="20"/>
                <w:vertAlign w:val="baseline"/>
                <w:lang w:val="en-US" w:eastAsia="zh-Hans" w:bidi="ar-SA"/>
              </w:rPr>
              <w:t>年</w:t>
            </w:r>
            <w:r>
              <w:rPr>
                <w:rFonts w:hint="eastAsia" w:ascii="宋体" w:hAnsi="宋体" w:eastAsia="宋体" w:cs="宋体"/>
                <w:kern w:val="2"/>
                <w:sz w:val="20"/>
                <w:szCs w:val="20"/>
                <w:vertAlign w:val="baseline"/>
                <w:lang w:eastAsia="zh-Hans" w:bidi="ar-SA"/>
              </w:rPr>
              <w:t>12</w:t>
            </w:r>
            <w:r>
              <w:rPr>
                <w:rFonts w:hint="eastAsia" w:ascii="宋体" w:hAnsi="宋体" w:eastAsia="宋体" w:cs="宋体"/>
                <w:kern w:val="2"/>
                <w:sz w:val="20"/>
                <w:szCs w:val="20"/>
                <w:vertAlign w:val="baseline"/>
                <w:lang w:val="en-US" w:eastAsia="zh-Hans" w:bidi="ar-SA"/>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室外实景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eastAsia="zh-Hans" w:bidi="ar-SA"/>
              </w:rPr>
            </w:pPr>
            <w:r>
              <w:rPr>
                <w:rFonts w:hint="eastAsia" w:ascii="宋体" w:hAnsi="宋体" w:eastAsia="宋体" w:cs="宋体"/>
                <w:kern w:val="2"/>
                <w:sz w:val="20"/>
                <w:szCs w:val="20"/>
                <w:vertAlign w:val="baseline"/>
                <w:lang w:eastAsia="zh-Hans" w:bidi="ar-SA"/>
              </w:rPr>
              <w:t>27</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恩阳船说</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巴中市恩阳古镇</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2021</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4</w:t>
            </w:r>
            <w:r>
              <w:rPr>
                <w:rFonts w:hint="eastAsia" w:ascii="宋体" w:hAnsi="宋体" w:eastAsia="宋体" w:cs="宋体"/>
                <w:sz w:val="20"/>
                <w:szCs w:val="20"/>
                <w:vertAlign w:val="baseline"/>
                <w:lang w:val="en-US" w:eastAsia="zh-Hans"/>
              </w:rPr>
              <w:t>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val="en-US" w:eastAsia="zh-Hans"/>
              </w:rPr>
              <w:t>室外沉浸实景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eastAsia="zh-Hans" w:bidi="ar-SA"/>
              </w:rPr>
            </w:pPr>
            <w:r>
              <w:rPr>
                <w:rFonts w:hint="eastAsia" w:ascii="宋体" w:hAnsi="宋体" w:eastAsia="宋体" w:cs="宋体"/>
                <w:kern w:val="2"/>
                <w:sz w:val="20"/>
                <w:szCs w:val="20"/>
                <w:vertAlign w:val="baseline"/>
                <w:lang w:eastAsia="zh-Hans" w:bidi="ar-SA"/>
              </w:rPr>
              <w:t>28</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亚丁密码</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稻城香格里拉镇</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2021年6月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0"/>
                <w:szCs w:val="20"/>
                <w:vertAlign w:val="baseline"/>
                <w:lang w:val="en-US" w:eastAsia="zh-Hans"/>
              </w:rPr>
            </w:pPr>
            <w:r>
              <w:rPr>
                <w:rFonts w:hint="eastAsia" w:ascii="宋体" w:hAnsi="宋体" w:eastAsia="宋体" w:cs="宋体"/>
                <w:kern w:val="2"/>
                <w:sz w:val="20"/>
                <w:szCs w:val="20"/>
                <w:vertAlign w:val="baseline"/>
                <w:lang w:val="en-US" w:eastAsia="zh-Hans" w:bidi="ar-SA"/>
              </w:rPr>
              <w:t>室内沉浸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eastAsia="zh-Hans" w:bidi="ar-SA"/>
              </w:rPr>
              <w:t>29</w:t>
            </w:r>
          </w:p>
        </w:tc>
        <w:tc>
          <w:tcPr>
            <w:tcW w:w="15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安顺记忆</w:t>
            </w:r>
          </w:p>
        </w:tc>
        <w:tc>
          <w:tcPr>
            <w:tcW w:w="252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石棉县安顺场</w:t>
            </w:r>
          </w:p>
        </w:tc>
        <w:tc>
          <w:tcPr>
            <w:tcW w:w="156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2021年9月</w:t>
            </w:r>
          </w:p>
        </w:tc>
        <w:tc>
          <w:tcPr>
            <w:tcW w:w="16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室外实景</w:t>
            </w:r>
          </w:p>
        </w:tc>
      </w:tr>
    </w:tbl>
    <w:p>
      <w:pPr>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二、四川省旅游演艺市场概述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（一）市场活跃度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宋体" w:hAnsi="宋体" w:eastAsia="宋体" w:cs="宋体"/>
          <w:b/>
          <w:bCs/>
          <w:sz w:val="21"/>
          <w:szCs w:val="21"/>
          <w:lang w:val="en-US" w:eastAsia="zh-CN"/>
        </w:rPr>
      </w:pPr>
      <w:r>
        <w:rPr>
          <w:rFonts w:hint="eastAsia" w:ascii="仿宋_GB2312" w:hAnsi="仿宋_GB2312" w:eastAsia="仿宋_GB2312" w:cs="仿宋_GB2312"/>
          <w:b w:val="0"/>
          <w:bCs w:val="0"/>
          <w:sz w:val="32"/>
          <w:szCs w:val="32"/>
          <w:lang w:val="en-US" w:eastAsia="zh-CN"/>
        </w:rPr>
        <w:t>在四川省29个旅游演艺项目中，《九寨千古情》无论是在接待游客数还是票房都是排名第一。2021年《九寨千古情》共接待游客超90万人次，带来票房收入2.63亿元，两项数据分别占四川省旅游演艺市场的53.62%和67.81%。《</w:t>
      </w:r>
      <w:r>
        <w:rPr>
          <w:rFonts w:hint="eastAsia" w:ascii="仿宋_GB2312" w:hAnsi="仿宋_GB2312" w:eastAsia="仿宋_GB2312" w:cs="仿宋_GB2312"/>
          <w:sz w:val="32"/>
          <w:szCs w:val="32"/>
          <w:vertAlign w:val="baseline"/>
          <w:lang w:val="en-US" w:eastAsia="zh-Hans"/>
        </w:rPr>
        <w:t>登嘎甘</w:t>
      </w:r>
      <w:r>
        <w:rPr>
          <w:rFonts w:hint="eastAsia" w:ascii="仿宋_GB2312" w:hAnsi="仿宋_GB2312" w:eastAsia="仿宋_GB2312" w:cs="仿宋_GB2312"/>
          <w:sz w:val="32"/>
          <w:szCs w:val="32"/>
          <w:vertAlign w:val="baseline"/>
          <w:lang w:val="en-US" w:eastAsia="zh-CN"/>
        </w:rPr>
        <w:t>㑇</w:t>
      </w:r>
      <w:r>
        <w:rPr>
          <w:rFonts w:hint="eastAsia" w:ascii="仿宋_GB2312" w:hAnsi="仿宋_GB2312" w:eastAsia="仿宋_GB2312" w:cs="仿宋_GB2312"/>
          <w:b w:val="0"/>
          <w:bCs w:val="0"/>
          <w:sz w:val="32"/>
          <w:szCs w:val="32"/>
          <w:lang w:val="en-US" w:eastAsia="zh-CN"/>
        </w:rPr>
        <w:t>》和《</w:t>
      </w:r>
      <w:r>
        <w:rPr>
          <w:rFonts w:hint="eastAsia" w:ascii="仿宋_GB2312" w:hAnsi="仿宋_GB2312" w:eastAsia="仿宋_GB2312" w:cs="仿宋_GB2312"/>
          <w:sz w:val="32"/>
          <w:szCs w:val="32"/>
          <w:vertAlign w:val="baseline"/>
          <w:lang w:val="en-US" w:eastAsia="zh-Hans"/>
        </w:rPr>
        <w:t>只有峨眉山</w:t>
      </w:r>
      <w:r>
        <w:rPr>
          <w:rFonts w:hint="eastAsia" w:ascii="仿宋_GB2312" w:hAnsi="仿宋_GB2312" w:eastAsia="仿宋_GB2312" w:cs="仿宋_GB2312"/>
          <w:b w:val="0"/>
          <w:bCs w:val="0"/>
          <w:sz w:val="32"/>
          <w:szCs w:val="32"/>
          <w:lang w:val="en-US" w:eastAsia="zh-CN"/>
        </w:rPr>
        <w:t>》占据两项数据排名的二、三位，均在2021年接待超10万人次的游客，创造近2000万元的票房收入。</w:t>
      </w:r>
    </w:p>
    <w:p>
      <w:pPr>
        <w:jc w:val="center"/>
        <w:rPr>
          <w:rFonts w:hint="eastAsia" w:ascii="宋体" w:hAnsi="宋体" w:eastAsia="宋体" w:cs="宋体"/>
          <w:b/>
          <w:bCs/>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5</w:t>
      </w:r>
      <w:r>
        <w:rPr>
          <w:rFonts w:hint="eastAsia" w:ascii="宋体" w:hAnsi="宋体" w:cs="宋体"/>
          <w:b/>
          <w:bCs/>
          <w:sz w:val="20"/>
          <w:szCs w:val="20"/>
          <w:lang w:val="en-US" w:eastAsia="zh-CN"/>
        </w:rPr>
        <w:t xml:space="preserve"> </w:t>
      </w:r>
      <w:r>
        <w:rPr>
          <w:rFonts w:hint="eastAsia" w:ascii="宋体" w:hAnsi="宋体" w:eastAsia="宋体" w:cs="宋体"/>
          <w:b/>
          <w:bCs/>
          <w:sz w:val="20"/>
          <w:szCs w:val="20"/>
          <w:lang w:eastAsia="zh-Hans"/>
        </w:rPr>
        <w:t>2021</w:t>
      </w:r>
      <w:r>
        <w:rPr>
          <w:rFonts w:hint="eastAsia" w:ascii="宋体" w:hAnsi="宋体" w:eastAsia="宋体" w:cs="宋体"/>
          <w:b/>
          <w:bCs/>
          <w:sz w:val="20"/>
          <w:szCs w:val="20"/>
          <w:lang w:val="en-US" w:eastAsia="zh-Hans"/>
        </w:rPr>
        <w:t>年主要驻场旅游演艺项目接待游客数前十位</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618"/>
        <w:gridCol w:w="2369"/>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1064" w:type="dxa"/>
            <w:vMerge w:val="restart"/>
            <w:vAlign w:val="center"/>
          </w:tcPr>
          <w:p>
            <w:pPr>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排名</w:t>
            </w:r>
          </w:p>
        </w:tc>
        <w:tc>
          <w:tcPr>
            <w:tcW w:w="1618" w:type="dxa"/>
            <w:vMerge w:val="restart"/>
            <w:vAlign w:val="center"/>
          </w:tcPr>
          <w:p>
            <w:pPr>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项目名称</w:t>
            </w:r>
          </w:p>
        </w:tc>
        <w:tc>
          <w:tcPr>
            <w:tcW w:w="2369" w:type="dxa"/>
            <w:vMerge w:val="restart"/>
            <w:vAlign w:val="center"/>
          </w:tcPr>
          <w:p>
            <w:pPr>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所在地</w:t>
            </w:r>
          </w:p>
        </w:tc>
        <w:tc>
          <w:tcPr>
            <w:tcW w:w="3045" w:type="dxa"/>
            <w:vMerge w:val="restart"/>
            <w:vAlign w:val="center"/>
          </w:tcPr>
          <w:p>
            <w:pPr>
              <w:jc w:val="center"/>
              <w:rPr>
                <w:rFonts w:hint="eastAsia" w:ascii="宋体" w:hAnsi="宋体" w:eastAsia="宋体" w:cs="宋体"/>
                <w:b/>
                <w:bCs/>
                <w:sz w:val="20"/>
                <w:szCs w:val="20"/>
                <w:vertAlign w:val="baseline"/>
                <w:lang w:val="en-US" w:eastAsia="zh-Hans"/>
              </w:rPr>
            </w:pPr>
            <w:r>
              <w:rPr>
                <w:rFonts w:hint="eastAsia" w:ascii="宋体" w:hAnsi="宋体" w:eastAsia="宋体" w:cs="宋体"/>
                <w:b/>
                <w:bCs/>
                <w:sz w:val="20"/>
                <w:szCs w:val="20"/>
                <w:vertAlign w:val="baseline"/>
                <w:lang w:val="en-US" w:eastAsia="zh-Hans"/>
              </w:rPr>
              <w:t>首演时间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4" w:type="dxa"/>
            <w:vMerge w:val="continue"/>
            <w:vAlign w:val="center"/>
          </w:tcPr>
          <w:p>
            <w:pPr>
              <w:jc w:val="center"/>
              <w:rPr>
                <w:rFonts w:hint="eastAsia" w:ascii="宋体" w:hAnsi="宋体" w:eastAsia="宋体" w:cs="宋体"/>
                <w:sz w:val="20"/>
                <w:szCs w:val="20"/>
                <w:vertAlign w:val="baseline"/>
                <w:lang w:val="en-US" w:eastAsia="zh-Hans"/>
              </w:rPr>
            </w:pPr>
          </w:p>
        </w:tc>
        <w:tc>
          <w:tcPr>
            <w:tcW w:w="1618" w:type="dxa"/>
            <w:vMerge w:val="continue"/>
            <w:vAlign w:val="center"/>
          </w:tcPr>
          <w:p>
            <w:pPr>
              <w:jc w:val="center"/>
              <w:rPr>
                <w:rFonts w:hint="eastAsia" w:ascii="宋体" w:hAnsi="宋体" w:eastAsia="宋体" w:cs="宋体"/>
                <w:sz w:val="20"/>
                <w:szCs w:val="20"/>
                <w:vertAlign w:val="baseline"/>
                <w:lang w:val="en-US" w:eastAsia="zh-Hans"/>
              </w:rPr>
            </w:pPr>
          </w:p>
        </w:tc>
        <w:tc>
          <w:tcPr>
            <w:tcW w:w="2369" w:type="dxa"/>
            <w:vMerge w:val="continue"/>
            <w:vAlign w:val="center"/>
          </w:tcPr>
          <w:p>
            <w:pPr>
              <w:jc w:val="center"/>
              <w:rPr>
                <w:rFonts w:hint="eastAsia" w:ascii="宋体" w:hAnsi="宋体" w:eastAsia="宋体" w:cs="宋体"/>
                <w:sz w:val="20"/>
                <w:szCs w:val="20"/>
                <w:vertAlign w:val="baseline"/>
                <w:lang w:val="en-US" w:eastAsia="zh-Hans"/>
              </w:rPr>
            </w:pPr>
          </w:p>
        </w:tc>
        <w:tc>
          <w:tcPr>
            <w:tcW w:w="3045" w:type="dxa"/>
            <w:vMerge w:val="continue"/>
            <w:vAlign w:val="center"/>
          </w:tcPr>
          <w:p>
            <w:pPr>
              <w:jc w:val="center"/>
              <w:rPr>
                <w:rFonts w:hint="eastAsia" w:ascii="宋体" w:hAnsi="宋体" w:eastAsia="宋体" w:cs="宋体"/>
                <w:sz w:val="20"/>
                <w:szCs w:val="20"/>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1064"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1</w:t>
            </w:r>
          </w:p>
        </w:tc>
        <w:tc>
          <w:tcPr>
            <w:tcW w:w="1618"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九寨千古情</w:t>
            </w:r>
          </w:p>
        </w:tc>
        <w:tc>
          <w:tcPr>
            <w:tcW w:w="2369"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CN"/>
              </w:rPr>
              <w:t>九寨沟漳扎镇</w:t>
            </w:r>
          </w:p>
        </w:tc>
        <w:tc>
          <w:tcPr>
            <w:tcW w:w="304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2020年6月重演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1064" w:type="dxa"/>
            <w:vAlign w:val="center"/>
          </w:tcPr>
          <w:p>
            <w:pPr>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2</w:t>
            </w:r>
          </w:p>
        </w:tc>
        <w:tc>
          <w:tcPr>
            <w:tcW w:w="1618"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登嘎甘</w:t>
            </w:r>
            <w:r>
              <w:rPr>
                <w:rFonts w:hint="eastAsia" w:ascii="宋体" w:hAnsi="宋体" w:cs="宋体"/>
                <w:sz w:val="20"/>
                <w:szCs w:val="20"/>
                <w:vertAlign w:val="baseline"/>
                <w:lang w:val="en-US" w:eastAsia="zh-CN"/>
              </w:rPr>
              <w:t>㑇</w:t>
            </w:r>
          </w:p>
        </w:tc>
        <w:tc>
          <w:tcPr>
            <w:tcW w:w="2369" w:type="dxa"/>
            <w:vAlign w:val="center"/>
          </w:tcPr>
          <w:p>
            <w:pPr>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九寨沟漳扎镇</w:t>
            </w:r>
          </w:p>
        </w:tc>
        <w:tc>
          <w:tcPr>
            <w:tcW w:w="304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2020年11月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1064" w:type="dxa"/>
            <w:vAlign w:val="center"/>
          </w:tcPr>
          <w:p>
            <w:pPr>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3</w:t>
            </w:r>
          </w:p>
        </w:tc>
        <w:tc>
          <w:tcPr>
            <w:tcW w:w="1618"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只有峨眉山</w:t>
            </w:r>
          </w:p>
        </w:tc>
        <w:tc>
          <w:tcPr>
            <w:tcW w:w="2369" w:type="dxa"/>
            <w:vAlign w:val="center"/>
          </w:tcPr>
          <w:p>
            <w:pPr>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Hans"/>
              </w:rPr>
              <w:t>峨眉山市</w:t>
            </w:r>
            <w:r>
              <w:rPr>
                <w:rFonts w:hint="eastAsia" w:ascii="宋体" w:hAnsi="宋体" w:eastAsia="宋体" w:cs="宋体"/>
                <w:sz w:val="20"/>
                <w:szCs w:val="20"/>
                <w:vertAlign w:val="baseline"/>
                <w:lang w:val="en-US" w:eastAsia="zh-CN"/>
              </w:rPr>
              <w:t>川主镇</w:t>
            </w:r>
          </w:p>
        </w:tc>
        <w:tc>
          <w:tcPr>
            <w:tcW w:w="304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2019年9月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1064"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4</w:t>
            </w:r>
          </w:p>
        </w:tc>
        <w:tc>
          <w:tcPr>
            <w:tcW w:w="1618"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梦境光雾山</w:t>
            </w:r>
          </w:p>
        </w:tc>
        <w:tc>
          <w:tcPr>
            <w:tcW w:w="2369"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巴中光雾山</w:t>
            </w:r>
          </w:p>
        </w:tc>
        <w:tc>
          <w:tcPr>
            <w:tcW w:w="304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2019年8月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1064"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5</w:t>
            </w:r>
          </w:p>
        </w:tc>
        <w:tc>
          <w:tcPr>
            <w:tcW w:w="1618"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斯古拉</w:t>
            </w:r>
          </w:p>
        </w:tc>
        <w:tc>
          <w:tcPr>
            <w:tcW w:w="2369" w:type="dxa"/>
            <w:vAlign w:val="center"/>
          </w:tcPr>
          <w:p>
            <w:pPr>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Hans"/>
              </w:rPr>
              <w:t>小金县四姑娘山</w:t>
            </w:r>
          </w:p>
        </w:tc>
        <w:tc>
          <w:tcPr>
            <w:tcW w:w="304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2020年10月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1064"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6</w:t>
            </w:r>
          </w:p>
        </w:tc>
        <w:tc>
          <w:tcPr>
            <w:tcW w:w="1618"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蜀风雅韵</w:t>
            </w:r>
          </w:p>
        </w:tc>
        <w:tc>
          <w:tcPr>
            <w:tcW w:w="2369"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成都文化公园</w:t>
            </w:r>
          </w:p>
        </w:tc>
        <w:tc>
          <w:tcPr>
            <w:tcW w:w="304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1998年7月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1064"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7</w:t>
            </w:r>
          </w:p>
        </w:tc>
        <w:tc>
          <w:tcPr>
            <w:tcW w:w="1618"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梦回巴国</w:t>
            </w:r>
          </w:p>
        </w:tc>
        <w:tc>
          <w:tcPr>
            <w:tcW w:w="2369" w:type="dxa"/>
            <w:vAlign w:val="center"/>
          </w:tcPr>
          <w:p>
            <w:pPr>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Hans"/>
              </w:rPr>
              <w:t>宣汉巴山大峡谷</w:t>
            </w:r>
          </w:p>
        </w:tc>
        <w:tc>
          <w:tcPr>
            <w:tcW w:w="304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1" w:hRule="atLeast"/>
          <w:jc w:val="center"/>
        </w:trPr>
        <w:tc>
          <w:tcPr>
            <w:tcW w:w="1064"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8</w:t>
            </w:r>
          </w:p>
        </w:tc>
        <w:tc>
          <w:tcPr>
            <w:tcW w:w="1618"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亚丁密码</w:t>
            </w:r>
          </w:p>
        </w:tc>
        <w:tc>
          <w:tcPr>
            <w:tcW w:w="2369" w:type="dxa"/>
            <w:vAlign w:val="center"/>
          </w:tcPr>
          <w:p>
            <w:pPr>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Hans"/>
              </w:rPr>
              <w:t>稻城香格里拉镇</w:t>
            </w:r>
          </w:p>
        </w:tc>
        <w:tc>
          <w:tcPr>
            <w:tcW w:w="304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2021年6月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1064"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9</w:t>
            </w:r>
          </w:p>
        </w:tc>
        <w:tc>
          <w:tcPr>
            <w:tcW w:w="1618"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恩阳船说</w:t>
            </w:r>
          </w:p>
        </w:tc>
        <w:tc>
          <w:tcPr>
            <w:tcW w:w="2369"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巴中市恩阳古镇</w:t>
            </w:r>
          </w:p>
        </w:tc>
        <w:tc>
          <w:tcPr>
            <w:tcW w:w="3045"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2021</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4</w:t>
            </w:r>
            <w:r>
              <w:rPr>
                <w:rFonts w:hint="eastAsia" w:ascii="宋体" w:hAnsi="宋体" w:eastAsia="宋体" w:cs="宋体"/>
                <w:sz w:val="20"/>
                <w:szCs w:val="20"/>
                <w:vertAlign w:val="baseline"/>
                <w:lang w:val="en-US" w:eastAsia="zh-Hans"/>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1064"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10</w:t>
            </w:r>
          </w:p>
        </w:tc>
        <w:tc>
          <w:tcPr>
            <w:tcW w:w="1618"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阆苑仙境</w:t>
            </w:r>
          </w:p>
        </w:tc>
        <w:tc>
          <w:tcPr>
            <w:tcW w:w="2369" w:type="dxa"/>
            <w:vAlign w:val="center"/>
          </w:tcPr>
          <w:p>
            <w:pPr>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阆中南津关古镇</w:t>
            </w:r>
          </w:p>
        </w:tc>
        <w:tc>
          <w:tcPr>
            <w:tcW w:w="304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2015年2月</w:t>
            </w:r>
          </w:p>
        </w:tc>
      </w:tr>
    </w:tbl>
    <w:p>
      <w:pPr>
        <w:jc w:val="both"/>
        <w:rPr>
          <w:rFonts w:hint="eastAsia" w:ascii="宋体" w:hAnsi="宋体" w:cs="宋体"/>
          <w:b/>
          <w:bCs/>
          <w:color w:val="auto"/>
          <w:sz w:val="20"/>
          <w:szCs w:val="20"/>
          <w:lang w:val="en-US" w:eastAsia="zh-CN"/>
        </w:rPr>
      </w:pPr>
    </w:p>
    <w:p>
      <w:pPr>
        <w:jc w:val="center"/>
        <w:rPr>
          <w:rFonts w:hint="eastAsia" w:ascii="宋体" w:hAnsi="宋体" w:eastAsia="宋体" w:cs="宋体"/>
          <w:b/>
          <w:bCs/>
          <w:color w:val="auto"/>
          <w:sz w:val="20"/>
          <w:szCs w:val="20"/>
          <w:lang w:eastAsia="zh-Hans"/>
        </w:rPr>
      </w:pPr>
      <w:r>
        <w:rPr>
          <w:rFonts w:hint="eastAsia" w:ascii="宋体" w:hAnsi="宋体" w:cs="宋体"/>
          <w:b/>
          <w:bCs/>
          <w:color w:val="auto"/>
          <w:sz w:val="20"/>
          <w:szCs w:val="20"/>
          <w:lang w:val="en-US" w:eastAsia="zh-CN"/>
        </w:rPr>
        <w:t xml:space="preserve"> </w:t>
      </w: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6</w:t>
      </w:r>
      <w:r>
        <w:rPr>
          <w:rFonts w:hint="eastAsia" w:ascii="宋体" w:hAnsi="宋体" w:cs="宋体"/>
          <w:b/>
          <w:bCs/>
          <w:color w:val="auto"/>
          <w:sz w:val="20"/>
          <w:szCs w:val="20"/>
          <w:lang w:val="en-US" w:eastAsia="zh-CN"/>
        </w:rPr>
        <w:t xml:space="preserve"> </w:t>
      </w:r>
      <w:r>
        <w:rPr>
          <w:rFonts w:hint="eastAsia" w:ascii="宋体" w:hAnsi="宋体" w:eastAsia="宋体" w:cs="宋体"/>
          <w:b/>
          <w:bCs/>
          <w:color w:val="auto"/>
          <w:sz w:val="20"/>
          <w:szCs w:val="20"/>
          <w:lang w:eastAsia="zh-Hans"/>
        </w:rPr>
        <w:t>2021</w:t>
      </w:r>
      <w:r>
        <w:rPr>
          <w:rFonts w:hint="eastAsia" w:ascii="宋体" w:hAnsi="宋体" w:eastAsia="宋体" w:cs="宋体"/>
          <w:b/>
          <w:bCs/>
          <w:color w:val="auto"/>
          <w:sz w:val="20"/>
          <w:szCs w:val="20"/>
          <w:lang w:val="en-US" w:eastAsia="zh-Hans"/>
        </w:rPr>
        <w:t>年四川省主要驻场旅游演艺项目票房前十排位</w:t>
      </w:r>
    </w:p>
    <w:tbl>
      <w:tblPr>
        <w:tblStyle w:val="14"/>
        <w:tblW w:w="8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3236"/>
        <w:gridCol w:w="3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777" w:type="dxa"/>
            <w:vMerge w:val="restart"/>
            <w:vAlign w:val="center"/>
          </w:tcPr>
          <w:p>
            <w:pPr>
              <w:jc w:val="center"/>
              <w:rPr>
                <w:rFonts w:hint="eastAsia" w:ascii="宋体" w:hAnsi="宋体" w:eastAsia="宋体" w:cs="宋体"/>
                <w:b/>
                <w:bCs/>
                <w:color w:val="auto"/>
                <w:sz w:val="20"/>
                <w:szCs w:val="20"/>
                <w:vertAlign w:val="baseline"/>
                <w:lang w:val="en-US" w:eastAsia="zh-Hans"/>
              </w:rPr>
            </w:pPr>
            <w:r>
              <w:rPr>
                <w:rFonts w:hint="eastAsia" w:ascii="宋体" w:hAnsi="宋体" w:eastAsia="宋体" w:cs="宋体"/>
                <w:b/>
                <w:bCs/>
                <w:color w:val="auto"/>
                <w:sz w:val="20"/>
                <w:szCs w:val="20"/>
                <w:vertAlign w:val="baseline"/>
                <w:lang w:val="en-US" w:eastAsia="zh-Hans"/>
              </w:rPr>
              <w:t>项目名称</w:t>
            </w:r>
          </w:p>
        </w:tc>
        <w:tc>
          <w:tcPr>
            <w:tcW w:w="3236" w:type="dxa"/>
            <w:vMerge w:val="restart"/>
            <w:vAlign w:val="center"/>
          </w:tcPr>
          <w:p>
            <w:pPr>
              <w:jc w:val="center"/>
              <w:rPr>
                <w:rFonts w:hint="eastAsia" w:ascii="宋体" w:hAnsi="宋体" w:eastAsia="宋体" w:cs="宋体"/>
                <w:b/>
                <w:bCs/>
                <w:color w:val="auto"/>
                <w:sz w:val="20"/>
                <w:szCs w:val="20"/>
                <w:vertAlign w:val="baseline"/>
                <w:lang w:val="en-US" w:eastAsia="zh-Hans"/>
              </w:rPr>
            </w:pPr>
            <w:r>
              <w:rPr>
                <w:rFonts w:hint="eastAsia" w:ascii="宋体" w:hAnsi="宋体" w:eastAsia="宋体" w:cs="宋体"/>
                <w:b/>
                <w:bCs/>
                <w:color w:val="auto"/>
                <w:sz w:val="20"/>
                <w:szCs w:val="20"/>
                <w:vertAlign w:val="baseline"/>
                <w:lang w:val="en-US" w:eastAsia="zh-Hans"/>
              </w:rPr>
              <w:t>所在地</w:t>
            </w:r>
          </w:p>
        </w:tc>
        <w:tc>
          <w:tcPr>
            <w:tcW w:w="3070" w:type="dxa"/>
            <w:vMerge w:val="restart"/>
            <w:vAlign w:val="center"/>
          </w:tcPr>
          <w:p>
            <w:pPr>
              <w:jc w:val="center"/>
              <w:rPr>
                <w:rFonts w:hint="eastAsia" w:ascii="宋体" w:hAnsi="宋体" w:eastAsia="宋体" w:cs="宋体"/>
                <w:b/>
                <w:bCs/>
                <w:color w:val="auto"/>
                <w:sz w:val="20"/>
                <w:szCs w:val="20"/>
                <w:vertAlign w:val="baseline"/>
                <w:lang w:val="en-US" w:eastAsia="zh-Hans"/>
              </w:rPr>
            </w:pPr>
            <w:r>
              <w:rPr>
                <w:rFonts w:hint="eastAsia" w:ascii="宋体" w:hAnsi="宋体" w:eastAsia="宋体" w:cs="宋体"/>
                <w:b/>
                <w:bCs/>
                <w:color w:val="auto"/>
                <w:sz w:val="20"/>
                <w:szCs w:val="20"/>
                <w:vertAlign w:val="baseline"/>
                <w:lang w:val="en-US" w:eastAsia="zh-Hans"/>
              </w:rPr>
              <w:t>票房排位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jc w:val="center"/>
        </w:trPr>
        <w:tc>
          <w:tcPr>
            <w:tcW w:w="1777" w:type="dxa"/>
            <w:vMerge w:val="continue"/>
            <w:vAlign w:val="center"/>
          </w:tcPr>
          <w:p>
            <w:pPr>
              <w:jc w:val="center"/>
              <w:rPr>
                <w:rFonts w:hint="eastAsia" w:ascii="宋体" w:hAnsi="宋体" w:eastAsia="宋体" w:cs="宋体"/>
                <w:color w:val="auto"/>
                <w:sz w:val="20"/>
                <w:szCs w:val="20"/>
                <w:vertAlign w:val="baseline"/>
                <w:lang w:val="en-US" w:eastAsia="zh-Hans"/>
              </w:rPr>
            </w:pPr>
          </w:p>
        </w:tc>
        <w:tc>
          <w:tcPr>
            <w:tcW w:w="3236" w:type="dxa"/>
            <w:vMerge w:val="continue"/>
            <w:vAlign w:val="center"/>
          </w:tcPr>
          <w:p>
            <w:pPr>
              <w:jc w:val="center"/>
              <w:rPr>
                <w:rFonts w:hint="eastAsia" w:ascii="宋体" w:hAnsi="宋体" w:eastAsia="宋体" w:cs="宋体"/>
                <w:color w:val="auto"/>
                <w:sz w:val="20"/>
                <w:szCs w:val="20"/>
                <w:vertAlign w:val="baseline"/>
                <w:lang w:val="en-US" w:eastAsia="zh-Hans"/>
              </w:rPr>
            </w:pPr>
          </w:p>
        </w:tc>
        <w:tc>
          <w:tcPr>
            <w:tcW w:w="3070" w:type="dxa"/>
            <w:vMerge w:val="continue"/>
            <w:vAlign w:val="center"/>
          </w:tcPr>
          <w:p>
            <w:pPr>
              <w:jc w:val="center"/>
              <w:rPr>
                <w:rFonts w:hint="eastAsia" w:ascii="宋体" w:hAnsi="宋体" w:eastAsia="宋体" w:cs="宋体"/>
                <w:color w:val="auto"/>
                <w:sz w:val="20"/>
                <w:szCs w:val="20"/>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九寨千古情</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CN"/>
              </w:rPr>
              <w:t>九寨沟漳扎镇</w:t>
            </w:r>
          </w:p>
        </w:tc>
        <w:tc>
          <w:tcPr>
            <w:tcW w:w="307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eastAsia="zh-Han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只有峨眉山</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峨眉山市</w:t>
            </w:r>
          </w:p>
        </w:tc>
        <w:tc>
          <w:tcPr>
            <w:tcW w:w="307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eastAsia="zh-Han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登嘎甘</w:t>
            </w:r>
            <w:r>
              <w:rPr>
                <w:rFonts w:hint="eastAsia" w:ascii="宋体" w:hAnsi="宋体" w:cs="宋体"/>
                <w:color w:val="auto"/>
                <w:sz w:val="20"/>
                <w:szCs w:val="20"/>
                <w:vertAlign w:val="baseline"/>
                <w:lang w:val="en-US" w:eastAsia="zh-CN"/>
              </w:rPr>
              <w:t>㑇</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CN"/>
              </w:rPr>
              <w:t>九寨沟漳扎镇</w:t>
            </w:r>
          </w:p>
        </w:tc>
        <w:tc>
          <w:tcPr>
            <w:tcW w:w="307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eastAsia="zh-Hans"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斯古拉</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小金县四姑娘山</w:t>
            </w:r>
          </w:p>
        </w:tc>
        <w:tc>
          <w:tcPr>
            <w:tcW w:w="307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eastAsia="zh-Hans"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亚丁密码</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稻城香格里拉镇</w:t>
            </w:r>
          </w:p>
        </w:tc>
        <w:tc>
          <w:tcPr>
            <w:tcW w:w="3070"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eastAsia="zh-Han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梦回巴国</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宣汉巴山大峡谷</w:t>
            </w:r>
          </w:p>
        </w:tc>
        <w:tc>
          <w:tcPr>
            <w:tcW w:w="307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eastAsia="zh-Han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梦境光雾山</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巴中光雾山</w:t>
            </w:r>
          </w:p>
        </w:tc>
        <w:tc>
          <w:tcPr>
            <w:tcW w:w="307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eastAsia="zh-Hans" w:bidi="ar-SA"/>
              </w:rPr>
            </w:pPr>
            <w:r>
              <w:rPr>
                <w:rFonts w:hint="eastAsia" w:ascii="宋体" w:hAnsi="宋体" w:eastAsia="宋体" w:cs="宋体"/>
                <w:color w:val="auto"/>
                <w:kern w:val="2"/>
                <w:sz w:val="20"/>
                <w:szCs w:val="20"/>
                <w:vertAlign w:val="baseline"/>
                <w:lang w:eastAsia="zh-Hans"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蜀风雅韵</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成都文化公园</w:t>
            </w:r>
          </w:p>
        </w:tc>
        <w:tc>
          <w:tcPr>
            <w:tcW w:w="3070" w:type="dxa"/>
            <w:vAlign w:val="center"/>
          </w:tcPr>
          <w:p>
            <w:pPr>
              <w:jc w:val="center"/>
              <w:rPr>
                <w:rFonts w:hint="eastAsia" w:ascii="宋体" w:hAnsi="宋体" w:eastAsia="宋体" w:cs="宋体"/>
                <w:color w:val="auto"/>
                <w:kern w:val="2"/>
                <w:sz w:val="20"/>
                <w:szCs w:val="20"/>
                <w:vertAlign w:val="baseline"/>
                <w:lang w:eastAsia="zh-Hans" w:bidi="ar-SA"/>
              </w:rPr>
            </w:pPr>
            <w:r>
              <w:rPr>
                <w:rFonts w:hint="eastAsia" w:ascii="宋体" w:hAnsi="宋体" w:eastAsia="宋体" w:cs="宋体"/>
                <w:color w:val="auto"/>
                <w:sz w:val="20"/>
                <w:szCs w:val="20"/>
                <w:vertAlign w:val="baseline"/>
                <w:lang w:eastAsia="zh-Han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阆苑仙境</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CN"/>
              </w:rPr>
              <w:t>阆中南津关古镇</w:t>
            </w:r>
          </w:p>
        </w:tc>
        <w:tc>
          <w:tcPr>
            <w:tcW w:w="3070"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eastAsia="zh-Hans"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77"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阿惹妞</w:t>
            </w:r>
          </w:p>
        </w:tc>
        <w:tc>
          <w:tcPr>
            <w:tcW w:w="3236"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西昌火把广场</w:t>
            </w:r>
          </w:p>
        </w:tc>
        <w:tc>
          <w:tcPr>
            <w:tcW w:w="307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eastAsia="zh-Hans" w:bidi="ar-SA"/>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（二）受疫情影响的代表性旅游演艺项目</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b w:val="0"/>
          <w:i w:val="0"/>
          <w:caps w:val="0"/>
          <w:color w:val="222222"/>
          <w:spacing w:val="0"/>
          <w:sz w:val="32"/>
          <w:szCs w:val="32"/>
          <w:u w:val="none"/>
          <w:lang w:val="en-US" w:eastAsia="zh-Hans"/>
        </w:rPr>
      </w:pPr>
      <w:r>
        <w:rPr>
          <w:rFonts w:hint="eastAsia" w:ascii="仿宋_GB2312" w:hAnsi="仿宋_GB2312" w:eastAsia="仿宋_GB2312" w:cs="仿宋_GB2312"/>
          <w:b w:val="0"/>
          <w:i w:val="0"/>
          <w:caps w:val="0"/>
          <w:color w:val="222222"/>
          <w:spacing w:val="0"/>
          <w:sz w:val="32"/>
          <w:szCs w:val="32"/>
          <w:u w:val="none"/>
          <w:lang w:val="en-US" w:eastAsia="zh-Hans"/>
        </w:rPr>
        <w:t>受疫情影响《道解都江堰》《圣象峨眉》《川·乐安仁》《李白归来》等剧目在疫情发生后一直暂停对外商业演出，此外，受疫情影响较大的旅游演艺项目还有以下项目；</w:t>
      </w:r>
    </w:p>
    <w:p>
      <w:pPr>
        <w:keepNext w:val="0"/>
        <w:keepLines w:val="0"/>
        <w:pageBreakBefore w:val="0"/>
        <w:numPr>
          <w:ilvl w:val="0"/>
          <w:numId w:val="8"/>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Hans"/>
        </w:rPr>
        <w:t>《蜀风雅韵》</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b w:val="0"/>
          <w:i w:val="0"/>
          <w:caps w:val="0"/>
          <w:color w:val="222222"/>
          <w:spacing w:val="0"/>
          <w:sz w:val="32"/>
          <w:szCs w:val="32"/>
          <w:u w:val="none"/>
          <w:lang w:eastAsia="zh-Hans"/>
        </w:rPr>
      </w:pPr>
      <w:r>
        <w:rPr>
          <w:rFonts w:hint="eastAsia" w:ascii="仿宋_GB2312" w:hAnsi="仿宋_GB2312" w:eastAsia="仿宋_GB2312" w:cs="仿宋_GB2312"/>
          <w:b w:val="0"/>
          <w:i w:val="0"/>
          <w:caps w:val="0"/>
          <w:color w:val="222222"/>
          <w:spacing w:val="0"/>
          <w:sz w:val="32"/>
          <w:szCs w:val="32"/>
          <w:u w:val="none"/>
          <w:lang w:val="en-US" w:eastAsia="zh-Hans"/>
        </w:rPr>
        <w:t>《蜀风雅韵》</w:t>
      </w:r>
      <w:r>
        <w:rPr>
          <w:rFonts w:hint="eastAsia" w:ascii="仿宋_GB2312" w:hAnsi="仿宋_GB2312" w:eastAsia="仿宋_GB2312" w:cs="仿宋_GB2312"/>
          <w:b w:val="0"/>
          <w:i w:val="0"/>
          <w:caps w:val="0"/>
          <w:color w:val="222222"/>
          <w:spacing w:val="0"/>
          <w:sz w:val="32"/>
          <w:szCs w:val="32"/>
          <w:u w:val="none"/>
          <w:lang w:val="en-US" w:eastAsia="zh-CN"/>
        </w:rPr>
        <w:t>2019年</w:t>
      </w:r>
      <w:r>
        <w:rPr>
          <w:rFonts w:hint="eastAsia" w:ascii="仿宋_GB2312" w:hAnsi="仿宋_GB2312" w:eastAsia="仿宋_GB2312" w:cs="仿宋_GB2312"/>
          <w:b w:val="0"/>
          <w:i w:val="0"/>
          <w:caps w:val="0"/>
          <w:color w:val="222222"/>
          <w:spacing w:val="0"/>
          <w:sz w:val="32"/>
          <w:szCs w:val="32"/>
          <w:u w:val="none"/>
          <w:lang w:val="en-US" w:eastAsia="zh-Hans"/>
        </w:rPr>
        <w:t>每天演出两场，全年演出</w:t>
      </w:r>
      <w:r>
        <w:rPr>
          <w:rFonts w:hint="eastAsia" w:ascii="仿宋_GB2312" w:hAnsi="仿宋_GB2312" w:eastAsia="仿宋_GB2312" w:cs="仿宋_GB2312"/>
          <w:b w:val="0"/>
          <w:i w:val="0"/>
          <w:caps w:val="0"/>
          <w:color w:val="222222"/>
          <w:spacing w:val="0"/>
          <w:sz w:val="32"/>
          <w:szCs w:val="32"/>
          <w:u w:val="none"/>
          <w:lang w:eastAsia="zh-Hans"/>
        </w:rPr>
        <w:t>556</w:t>
      </w:r>
      <w:r>
        <w:rPr>
          <w:rFonts w:hint="eastAsia" w:ascii="仿宋_GB2312" w:hAnsi="仿宋_GB2312" w:eastAsia="仿宋_GB2312" w:cs="仿宋_GB2312"/>
          <w:b w:val="0"/>
          <w:i w:val="0"/>
          <w:caps w:val="0"/>
          <w:color w:val="222222"/>
          <w:spacing w:val="0"/>
          <w:sz w:val="32"/>
          <w:szCs w:val="32"/>
          <w:u w:val="none"/>
          <w:lang w:val="en-US" w:eastAsia="zh-Hans"/>
        </w:rPr>
        <w:t>场，接待游客</w:t>
      </w:r>
      <w:r>
        <w:rPr>
          <w:rFonts w:hint="eastAsia" w:ascii="仿宋_GB2312" w:hAnsi="仿宋_GB2312" w:eastAsia="仿宋_GB2312" w:cs="仿宋_GB2312"/>
          <w:b w:val="0"/>
          <w:i w:val="0"/>
          <w:caps w:val="0"/>
          <w:color w:val="222222"/>
          <w:spacing w:val="0"/>
          <w:sz w:val="32"/>
          <w:szCs w:val="32"/>
          <w:u w:val="none"/>
          <w:lang w:eastAsia="zh-Hans"/>
        </w:rPr>
        <w:t>167966</w:t>
      </w:r>
      <w:r>
        <w:rPr>
          <w:rFonts w:hint="eastAsia" w:ascii="仿宋_GB2312" w:hAnsi="仿宋_GB2312" w:eastAsia="仿宋_GB2312" w:cs="仿宋_GB2312"/>
          <w:b w:val="0"/>
          <w:i w:val="0"/>
          <w:caps w:val="0"/>
          <w:color w:val="222222"/>
          <w:spacing w:val="0"/>
          <w:sz w:val="32"/>
          <w:szCs w:val="32"/>
          <w:u w:val="none"/>
          <w:lang w:val="en-US" w:eastAsia="zh-Hans"/>
        </w:rPr>
        <w:t>人次；受疫情影响，</w:t>
      </w:r>
      <w:r>
        <w:rPr>
          <w:rFonts w:hint="eastAsia" w:ascii="仿宋_GB2312" w:hAnsi="仿宋_GB2312" w:eastAsia="仿宋_GB2312" w:cs="仿宋_GB2312"/>
          <w:b w:val="0"/>
          <w:i w:val="0"/>
          <w:caps w:val="0"/>
          <w:color w:val="222222"/>
          <w:spacing w:val="0"/>
          <w:sz w:val="32"/>
          <w:szCs w:val="32"/>
          <w:u w:val="none"/>
          <w:lang w:eastAsia="zh-Hans"/>
        </w:rPr>
        <w:t>2021</w:t>
      </w:r>
      <w:r>
        <w:rPr>
          <w:rFonts w:hint="eastAsia" w:ascii="仿宋_GB2312" w:hAnsi="仿宋_GB2312" w:eastAsia="仿宋_GB2312" w:cs="仿宋_GB2312"/>
          <w:b w:val="0"/>
          <w:i w:val="0"/>
          <w:caps w:val="0"/>
          <w:color w:val="222222"/>
          <w:spacing w:val="0"/>
          <w:sz w:val="32"/>
          <w:szCs w:val="32"/>
          <w:u w:val="none"/>
          <w:lang w:val="en-US" w:eastAsia="zh-Hans"/>
        </w:rPr>
        <w:t>年全年演出</w:t>
      </w:r>
      <w:r>
        <w:rPr>
          <w:rFonts w:hint="eastAsia" w:ascii="仿宋_GB2312" w:hAnsi="仿宋_GB2312" w:eastAsia="仿宋_GB2312" w:cs="仿宋_GB2312"/>
          <w:b w:val="0"/>
          <w:i w:val="0"/>
          <w:caps w:val="0"/>
          <w:color w:val="222222"/>
          <w:spacing w:val="0"/>
          <w:sz w:val="32"/>
          <w:szCs w:val="32"/>
          <w:u w:val="none"/>
          <w:lang w:eastAsia="zh-Hans"/>
        </w:rPr>
        <w:t>252</w:t>
      </w:r>
      <w:r>
        <w:rPr>
          <w:rFonts w:hint="eastAsia" w:ascii="仿宋_GB2312" w:hAnsi="仿宋_GB2312" w:eastAsia="仿宋_GB2312" w:cs="仿宋_GB2312"/>
          <w:b w:val="0"/>
          <w:i w:val="0"/>
          <w:caps w:val="0"/>
          <w:color w:val="222222"/>
          <w:spacing w:val="0"/>
          <w:sz w:val="32"/>
          <w:szCs w:val="32"/>
          <w:u w:val="none"/>
          <w:lang w:val="en-US" w:eastAsia="zh-Hans"/>
        </w:rPr>
        <w:t>场，接待游客</w:t>
      </w:r>
      <w:r>
        <w:rPr>
          <w:rFonts w:hint="eastAsia" w:ascii="仿宋_GB2312" w:hAnsi="仿宋_GB2312" w:eastAsia="仿宋_GB2312" w:cs="仿宋_GB2312"/>
          <w:b w:val="0"/>
          <w:i w:val="0"/>
          <w:caps w:val="0"/>
          <w:color w:val="222222"/>
          <w:spacing w:val="0"/>
          <w:sz w:val="32"/>
          <w:szCs w:val="32"/>
          <w:u w:val="none"/>
          <w:lang w:eastAsia="zh-Hans"/>
        </w:rPr>
        <w:t>67520</w:t>
      </w:r>
      <w:r>
        <w:rPr>
          <w:rFonts w:hint="eastAsia" w:ascii="仿宋_GB2312" w:hAnsi="仿宋_GB2312" w:eastAsia="仿宋_GB2312" w:cs="仿宋_GB2312"/>
          <w:b w:val="0"/>
          <w:i w:val="0"/>
          <w:caps w:val="0"/>
          <w:color w:val="222222"/>
          <w:spacing w:val="0"/>
          <w:sz w:val="32"/>
          <w:szCs w:val="32"/>
          <w:u w:val="none"/>
          <w:lang w:val="en-US" w:eastAsia="zh-Hans"/>
        </w:rPr>
        <w:t>人次；演出场次减少</w:t>
      </w:r>
      <w:r>
        <w:rPr>
          <w:rFonts w:hint="eastAsia" w:ascii="仿宋_GB2312" w:hAnsi="仿宋_GB2312" w:eastAsia="仿宋_GB2312" w:cs="仿宋_GB2312"/>
          <w:b w:val="0"/>
          <w:i w:val="0"/>
          <w:caps w:val="0"/>
          <w:color w:val="222222"/>
          <w:spacing w:val="0"/>
          <w:sz w:val="32"/>
          <w:szCs w:val="32"/>
          <w:u w:val="none"/>
          <w:lang w:eastAsia="zh-Hans"/>
        </w:rPr>
        <w:t>304</w:t>
      </w:r>
      <w:r>
        <w:rPr>
          <w:rFonts w:hint="eastAsia" w:ascii="仿宋_GB2312" w:hAnsi="仿宋_GB2312" w:eastAsia="仿宋_GB2312" w:cs="仿宋_GB2312"/>
          <w:b w:val="0"/>
          <w:i w:val="0"/>
          <w:caps w:val="0"/>
          <w:color w:val="222222"/>
          <w:spacing w:val="0"/>
          <w:sz w:val="32"/>
          <w:szCs w:val="32"/>
          <w:u w:val="none"/>
          <w:lang w:val="en-US" w:eastAsia="zh-Hans"/>
        </w:rPr>
        <w:t>场，为疫情前</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年的</w:t>
      </w:r>
      <w:r>
        <w:rPr>
          <w:rFonts w:hint="eastAsia" w:ascii="仿宋_GB2312" w:hAnsi="仿宋_GB2312" w:eastAsia="仿宋_GB2312" w:cs="仿宋_GB2312"/>
          <w:b w:val="0"/>
          <w:i w:val="0"/>
          <w:caps w:val="0"/>
          <w:color w:val="222222"/>
          <w:spacing w:val="0"/>
          <w:sz w:val="32"/>
          <w:szCs w:val="32"/>
          <w:u w:val="none"/>
          <w:lang w:eastAsia="zh-Hans"/>
        </w:rPr>
        <w:t>45%；</w:t>
      </w:r>
      <w:r>
        <w:rPr>
          <w:rFonts w:hint="eastAsia" w:ascii="仿宋_GB2312" w:hAnsi="仿宋_GB2312" w:eastAsia="仿宋_GB2312" w:cs="仿宋_GB2312"/>
          <w:b w:val="0"/>
          <w:i w:val="0"/>
          <w:caps w:val="0"/>
          <w:color w:val="222222"/>
          <w:spacing w:val="0"/>
          <w:sz w:val="32"/>
          <w:szCs w:val="32"/>
          <w:u w:val="none"/>
          <w:lang w:val="en-US" w:eastAsia="zh-Hans"/>
        </w:rPr>
        <w:t>游客人次减少</w:t>
      </w:r>
      <w:r>
        <w:rPr>
          <w:rFonts w:hint="eastAsia" w:ascii="仿宋_GB2312" w:hAnsi="仿宋_GB2312" w:eastAsia="仿宋_GB2312" w:cs="仿宋_GB2312"/>
          <w:b w:val="0"/>
          <w:i w:val="0"/>
          <w:caps w:val="0"/>
          <w:color w:val="222222"/>
          <w:spacing w:val="0"/>
          <w:sz w:val="32"/>
          <w:szCs w:val="32"/>
          <w:u w:val="none"/>
          <w:lang w:eastAsia="zh-Hans"/>
        </w:rPr>
        <w:t>100446</w:t>
      </w:r>
      <w:r>
        <w:rPr>
          <w:rFonts w:hint="eastAsia" w:ascii="仿宋_GB2312" w:hAnsi="仿宋_GB2312" w:eastAsia="仿宋_GB2312" w:cs="仿宋_GB2312"/>
          <w:b w:val="0"/>
          <w:i w:val="0"/>
          <w:caps w:val="0"/>
          <w:color w:val="222222"/>
          <w:spacing w:val="0"/>
          <w:sz w:val="32"/>
          <w:szCs w:val="32"/>
          <w:u w:val="none"/>
          <w:lang w:val="en-US" w:eastAsia="zh-Hans"/>
        </w:rPr>
        <w:t>，仅为疫情前</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年的</w:t>
      </w:r>
      <w:r>
        <w:rPr>
          <w:rFonts w:hint="eastAsia" w:ascii="仿宋_GB2312" w:hAnsi="仿宋_GB2312" w:eastAsia="仿宋_GB2312" w:cs="仿宋_GB2312"/>
          <w:b w:val="0"/>
          <w:i w:val="0"/>
          <w:caps w:val="0"/>
          <w:color w:val="222222"/>
          <w:spacing w:val="0"/>
          <w:sz w:val="32"/>
          <w:szCs w:val="32"/>
          <w:u w:val="none"/>
          <w:lang w:eastAsia="zh-Hans"/>
        </w:rPr>
        <w:t>40%；</w:t>
      </w:r>
      <w:r>
        <w:rPr>
          <w:rFonts w:hint="eastAsia" w:ascii="仿宋_GB2312" w:hAnsi="仿宋_GB2312" w:eastAsia="仿宋_GB2312" w:cs="仿宋_GB2312"/>
          <w:b w:val="0"/>
          <w:i w:val="0"/>
          <w:caps w:val="0"/>
          <w:color w:val="222222"/>
          <w:spacing w:val="0"/>
          <w:sz w:val="32"/>
          <w:szCs w:val="32"/>
          <w:u w:val="none"/>
          <w:lang w:val="en-US" w:eastAsia="zh-Hans"/>
        </w:rPr>
        <w:t>经营收入较疫情前的</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年下降</w:t>
      </w:r>
      <w:r>
        <w:rPr>
          <w:rFonts w:hint="eastAsia" w:ascii="仿宋_GB2312" w:hAnsi="仿宋_GB2312" w:eastAsia="仿宋_GB2312" w:cs="仿宋_GB2312"/>
          <w:b w:val="0"/>
          <w:i w:val="0"/>
          <w:caps w:val="0"/>
          <w:color w:val="222222"/>
          <w:spacing w:val="0"/>
          <w:sz w:val="32"/>
          <w:szCs w:val="32"/>
          <w:u w:val="none"/>
          <w:lang w:eastAsia="zh-Hans"/>
        </w:rPr>
        <w:t>64%。</w:t>
      </w:r>
    </w:p>
    <w:p>
      <w:pPr>
        <w:pStyle w:val="17"/>
        <w:jc w:val="center"/>
      </w:pPr>
      <w:r>
        <w:drawing>
          <wp:inline distT="0" distB="0" distL="114300" distR="114300">
            <wp:extent cx="4058285" cy="2343785"/>
            <wp:effectExtent l="4445" t="5080" r="13970" b="1333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numPr>
          <w:ilvl w:val="0"/>
          <w:numId w:val="0"/>
        </w:numPr>
        <w:jc w:val="center"/>
        <w:rPr>
          <w:rStyle w:val="19"/>
          <w:rFonts w:hint="eastAsia" w:ascii="宋体" w:hAnsi="宋体" w:eastAsia="宋体" w:cs="宋体"/>
          <w:sz w:val="20"/>
          <w:szCs w:val="20"/>
        </w:rPr>
      </w:pPr>
    </w:p>
    <w:p>
      <w:pPr>
        <w:numPr>
          <w:ilvl w:val="0"/>
          <w:numId w:val="0"/>
        </w:numPr>
        <w:jc w:val="center"/>
        <w:rPr>
          <w:rFonts w:hint="default" w:ascii="宋体" w:hAnsi="宋体" w:eastAsia="宋体" w:cs="宋体"/>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7  《蜀风雅韵》疫情前后市场状况对比</w:t>
      </w:r>
    </w:p>
    <w:p>
      <w:pPr>
        <w:keepNext w:val="0"/>
        <w:keepLines w:val="0"/>
        <w:pageBreakBefore w:val="0"/>
        <w:numPr>
          <w:ilvl w:val="0"/>
          <w:numId w:val="8"/>
        </w:numPr>
        <w:kinsoku/>
        <w:wordWrap/>
        <w:overflowPunct/>
        <w:topLinePunct w:val="0"/>
        <w:autoSpaceDE/>
        <w:autoSpaceDN/>
        <w:bidi w:val="0"/>
        <w:adjustRightInd/>
        <w:snapToGrid/>
        <w:spacing w:line="240" w:lineRule="auto"/>
        <w:ind w:left="0" w:leftChars="0" w:firstLine="643" w:firstLineChars="200"/>
        <w:jc w:val="both"/>
        <w:textAlignment w:val="auto"/>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Hans"/>
        </w:rPr>
        <w:t>《阿惹妞》</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i w:val="0"/>
          <w:caps w:val="0"/>
          <w:color w:val="222222"/>
          <w:spacing w:val="0"/>
          <w:sz w:val="32"/>
          <w:szCs w:val="32"/>
          <w:u w:val="none"/>
          <w:lang w:eastAsia="zh-Hans"/>
        </w:rPr>
      </w:pPr>
      <w:r>
        <w:rPr>
          <w:rFonts w:hint="eastAsia" w:ascii="仿宋_GB2312" w:hAnsi="仿宋_GB2312" w:eastAsia="仿宋_GB2312" w:cs="仿宋_GB2312"/>
          <w:b w:val="0"/>
          <w:i w:val="0"/>
          <w:caps w:val="0"/>
          <w:color w:val="222222"/>
          <w:spacing w:val="0"/>
          <w:sz w:val="32"/>
          <w:szCs w:val="32"/>
          <w:u w:val="none"/>
          <w:lang w:val="en-US" w:eastAsia="zh-Hans"/>
        </w:rPr>
        <w:t>《阿惹妞》</w:t>
      </w:r>
      <w:r>
        <w:rPr>
          <w:rFonts w:hint="eastAsia" w:ascii="仿宋_GB2312" w:hAnsi="仿宋_GB2312" w:eastAsia="仿宋_GB2312" w:cs="仿宋_GB2312"/>
          <w:b w:val="0"/>
          <w:i w:val="0"/>
          <w:caps w:val="0"/>
          <w:color w:val="222222"/>
          <w:spacing w:val="0"/>
          <w:sz w:val="32"/>
          <w:szCs w:val="32"/>
          <w:u w:val="none"/>
          <w:lang w:val="en-US" w:eastAsia="zh-CN"/>
        </w:rPr>
        <w:t>2019年</w:t>
      </w:r>
      <w:r>
        <w:rPr>
          <w:rFonts w:hint="eastAsia" w:ascii="仿宋_GB2312" w:hAnsi="仿宋_GB2312" w:eastAsia="仿宋_GB2312" w:cs="仿宋_GB2312"/>
          <w:b w:val="0"/>
          <w:i w:val="0"/>
          <w:caps w:val="0"/>
          <w:color w:val="222222"/>
          <w:spacing w:val="0"/>
          <w:sz w:val="32"/>
          <w:szCs w:val="32"/>
          <w:u w:val="none"/>
          <w:lang w:val="en-US" w:eastAsia="zh-Hans"/>
        </w:rPr>
        <w:t>全年演出</w:t>
      </w:r>
      <w:r>
        <w:rPr>
          <w:rFonts w:hint="eastAsia" w:ascii="仿宋_GB2312" w:hAnsi="仿宋_GB2312" w:eastAsia="仿宋_GB2312" w:cs="仿宋_GB2312"/>
          <w:b w:val="0"/>
          <w:i w:val="0"/>
          <w:caps w:val="0"/>
          <w:color w:val="222222"/>
          <w:spacing w:val="0"/>
          <w:sz w:val="32"/>
          <w:szCs w:val="32"/>
          <w:u w:val="none"/>
          <w:lang w:eastAsia="zh-Hans"/>
        </w:rPr>
        <w:t>57</w:t>
      </w:r>
      <w:r>
        <w:rPr>
          <w:rFonts w:hint="eastAsia" w:ascii="仿宋_GB2312" w:hAnsi="仿宋_GB2312" w:eastAsia="仿宋_GB2312" w:cs="仿宋_GB2312"/>
          <w:b w:val="0"/>
          <w:i w:val="0"/>
          <w:caps w:val="0"/>
          <w:color w:val="222222"/>
          <w:spacing w:val="0"/>
          <w:sz w:val="32"/>
          <w:szCs w:val="32"/>
          <w:u w:val="none"/>
          <w:lang w:val="en-US" w:eastAsia="zh-Hans"/>
        </w:rPr>
        <w:t>场，接待游客</w:t>
      </w:r>
      <w:r>
        <w:rPr>
          <w:rFonts w:hint="eastAsia" w:ascii="仿宋_GB2312" w:hAnsi="仿宋_GB2312" w:eastAsia="仿宋_GB2312" w:cs="仿宋_GB2312"/>
          <w:b w:val="0"/>
          <w:i w:val="0"/>
          <w:caps w:val="0"/>
          <w:color w:val="222222"/>
          <w:spacing w:val="0"/>
          <w:sz w:val="32"/>
          <w:szCs w:val="32"/>
          <w:u w:val="none"/>
          <w:lang w:eastAsia="zh-Hans"/>
        </w:rPr>
        <w:t>22164</w:t>
      </w:r>
      <w:r>
        <w:rPr>
          <w:rFonts w:hint="eastAsia" w:ascii="仿宋_GB2312" w:hAnsi="仿宋_GB2312" w:eastAsia="仿宋_GB2312" w:cs="仿宋_GB2312"/>
          <w:b w:val="0"/>
          <w:i w:val="0"/>
          <w:caps w:val="0"/>
          <w:color w:val="222222"/>
          <w:spacing w:val="0"/>
          <w:sz w:val="32"/>
          <w:szCs w:val="32"/>
          <w:u w:val="none"/>
          <w:lang w:val="en-US" w:eastAsia="zh-Hans"/>
        </w:rPr>
        <w:t>人，受疫情影响，</w:t>
      </w:r>
      <w:r>
        <w:rPr>
          <w:rFonts w:hint="eastAsia" w:ascii="仿宋_GB2312" w:hAnsi="仿宋_GB2312" w:eastAsia="仿宋_GB2312" w:cs="仿宋_GB2312"/>
          <w:b w:val="0"/>
          <w:i w:val="0"/>
          <w:caps w:val="0"/>
          <w:color w:val="222222"/>
          <w:spacing w:val="0"/>
          <w:sz w:val="32"/>
          <w:szCs w:val="32"/>
          <w:u w:val="none"/>
          <w:lang w:eastAsia="zh-Hans"/>
        </w:rPr>
        <w:t>2021</w:t>
      </w:r>
      <w:r>
        <w:rPr>
          <w:rFonts w:hint="eastAsia" w:ascii="仿宋_GB2312" w:hAnsi="仿宋_GB2312" w:eastAsia="仿宋_GB2312" w:cs="仿宋_GB2312"/>
          <w:b w:val="0"/>
          <w:i w:val="0"/>
          <w:caps w:val="0"/>
          <w:color w:val="222222"/>
          <w:spacing w:val="0"/>
          <w:sz w:val="32"/>
          <w:szCs w:val="32"/>
          <w:u w:val="none"/>
          <w:lang w:val="en-US" w:eastAsia="zh-Hans"/>
        </w:rPr>
        <w:t>年全年仅演出</w:t>
      </w:r>
      <w:r>
        <w:rPr>
          <w:rFonts w:hint="eastAsia" w:ascii="仿宋_GB2312" w:hAnsi="仿宋_GB2312" w:eastAsia="仿宋_GB2312" w:cs="仿宋_GB2312"/>
          <w:b w:val="0"/>
          <w:i w:val="0"/>
          <w:caps w:val="0"/>
          <w:color w:val="222222"/>
          <w:spacing w:val="0"/>
          <w:sz w:val="32"/>
          <w:szCs w:val="32"/>
          <w:u w:val="none"/>
          <w:lang w:eastAsia="zh-Hans"/>
        </w:rPr>
        <w:t>23</w:t>
      </w:r>
      <w:r>
        <w:rPr>
          <w:rFonts w:hint="eastAsia" w:ascii="仿宋_GB2312" w:hAnsi="仿宋_GB2312" w:eastAsia="仿宋_GB2312" w:cs="仿宋_GB2312"/>
          <w:b w:val="0"/>
          <w:i w:val="0"/>
          <w:caps w:val="0"/>
          <w:color w:val="222222"/>
          <w:spacing w:val="0"/>
          <w:sz w:val="32"/>
          <w:szCs w:val="32"/>
          <w:u w:val="none"/>
          <w:lang w:val="en-US" w:eastAsia="zh-Hans"/>
        </w:rPr>
        <w:t>场，较</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年减少</w:t>
      </w:r>
      <w:r>
        <w:rPr>
          <w:rFonts w:hint="eastAsia" w:ascii="仿宋_GB2312" w:hAnsi="仿宋_GB2312" w:eastAsia="仿宋_GB2312" w:cs="仿宋_GB2312"/>
          <w:b w:val="0"/>
          <w:i w:val="0"/>
          <w:caps w:val="0"/>
          <w:color w:val="222222"/>
          <w:spacing w:val="0"/>
          <w:sz w:val="32"/>
          <w:szCs w:val="32"/>
          <w:u w:val="none"/>
          <w:lang w:eastAsia="zh-Hans"/>
        </w:rPr>
        <w:t>34</w:t>
      </w:r>
      <w:r>
        <w:rPr>
          <w:rFonts w:hint="eastAsia" w:ascii="仿宋_GB2312" w:hAnsi="仿宋_GB2312" w:eastAsia="仿宋_GB2312" w:cs="仿宋_GB2312"/>
          <w:b w:val="0"/>
          <w:i w:val="0"/>
          <w:caps w:val="0"/>
          <w:color w:val="222222"/>
          <w:spacing w:val="0"/>
          <w:sz w:val="32"/>
          <w:szCs w:val="32"/>
          <w:u w:val="none"/>
          <w:lang w:val="en-US" w:eastAsia="zh-Hans"/>
        </w:rPr>
        <w:t>场，为疫情前</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年的</w:t>
      </w:r>
      <w:r>
        <w:rPr>
          <w:rFonts w:hint="eastAsia" w:ascii="仿宋_GB2312" w:hAnsi="仿宋_GB2312" w:eastAsia="仿宋_GB2312" w:cs="仿宋_GB2312"/>
          <w:b w:val="0"/>
          <w:i w:val="0"/>
          <w:caps w:val="0"/>
          <w:color w:val="222222"/>
          <w:spacing w:val="0"/>
          <w:sz w:val="32"/>
          <w:szCs w:val="32"/>
          <w:u w:val="none"/>
          <w:lang w:eastAsia="zh-Hans"/>
        </w:rPr>
        <w:t>40%；</w:t>
      </w:r>
      <w:r>
        <w:rPr>
          <w:rFonts w:hint="eastAsia" w:ascii="仿宋_GB2312" w:hAnsi="仿宋_GB2312" w:eastAsia="仿宋_GB2312" w:cs="仿宋_GB2312"/>
          <w:b w:val="0"/>
          <w:i w:val="0"/>
          <w:caps w:val="0"/>
          <w:color w:val="222222"/>
          <w:spacing w:val="0"/>
          <w:sz w:val="32"/>
          <w:szCs w:val="32"/>
          <w:u w:val="none"/>
          <w:lang w:val="en-US" w:eastAsia="zh-Hans"/>
        </w:rPr>
        <w:t>接待游客</w:t>
      </w:r>
      <w:r>
        <w:rPr>
          <w:rFonts w:hint="eastAsia" w:ascii="仿宋_GB2312" w:hAnsi="仿宋_GB2312" w:eastAsia="仿宋_GB2312" w:cs="仿宋_GB2312"/>
          <w:b w:val="0"/>
          <w:i w:val="0"/>
          <w:caps w:val="0"/>
          <w:color w:val="222222"/>
          <w:spacing w:val="0"/>
          <w:sz w:val="32"/>
          <w:szCs w:val="32"/>
          <w:u w:val="none"/>
          <w:lang w:eastAsia="zh-Hans"/>
        </w:rPr>
        <w:t>12855</w:t>
      </w:r>
      <w:r>
        <w:rPr>
          <w:rFonts w:hint="eastAsia" w:ascii="仿宋_GB2312" w:hAnsi="仿宋_GB2312" w:eastAsia="仿宋_GB2312" w:cs="仿宋_GB2312"/>
          <w:b w:val="0"/>
          <w:i w:val="0"/>
          <w:caps w:val="0"/>
          <w:color w:val="222222"/>
          <w:spacing w:val="0"/>
          <w:sz w:val="32"/>
          <w:szCs w:val="32"/>
          <w:u w:val="none"/>
          <w:lang w:val="en-US" w:eastAsia="zh-Hans"/>
        </w:rPr>
        <w:t>人次，较疫情前的</w:t>
      </w:r>
      <w:r>
        <w:rPr>
          <w:rFonts w:hint="eastAsia" w:ascii="仿宋_GB2312" w:hAnsi="仿宋_GB2312" w:eastAsia="仿宋_GB2312" w:cs="仿宋_GB2312"/>
          <w:b w:val="0"/>
          <w:i w:val="0"/>
          <w:caps w:val="0"/>
          <w:color w:val="222222"/>
          <w:spacing w:val="0"/>
          <w:sz w:val="32"/>
          <w:szCs w:val="32"/>
          <w:u w:val="none"/>
          <w:lang w:eastAsia="zh-Hans"/>
        </w:rPr>
        <w:t>2019</w:t>
      </w:r>
      <w:r>
        <w:rPr>
          <w:rFonts w:hint="eastAsia" w:ascii="仿宋_GB2312" w:hAnsi="仿宋_GB2312" w:eastAsia="仿宋_GB2312" w:cs="仿宋_GB2312"/>
          <w:b w:val="0"/>
          <w:i w:val="0"/>
          <w:caps w:val="0"/>
          <w:color w:val="222222"/>
          <w:spacing w:val="0"/>
          <w:sz w:val="32"/>
          <w:szCs w:val="32"/>
          <w:u w:val="none"/>
          <w:lang w:val="en-US" w:eastAsia="zh-Hans"/>
        </w:rPr>
        <w:t>年减少</w:t>
      </w:r>
      <w:r>
        <w:rPr>
          <w:rFonts w:hint="eastAsia" w:ascii="仿宋_GB2312" w:hAnsi="仿宋_GB2312" w:eastAsia="仿宋_GB2312" w:cs="仿宋_GB2312"/>
          <w:b w:val="0"/>
          <w:i w:val="0"/>
          <w:caps w:val="0"/>
          <w:color w:val="222222"/>
          <w:spacing w:val="0"/>
          <w:sz w:val="32"/>
          <w:szCs w:val="32"/>
          <w:u w:val="none"/>
          <w:lang w:eastAsia="zh-Hans"/>
        </w:rPr>
        <w:t>9309；</w:t>
      </w:r>
      <w:r>
        <w:rPr>
          <w:rFonts w:hint="eastAsia" w:ascii="仿宋_GB2312" w:hAnsi="仿宋_GB2312" w:eastAsia="仿宋_GB2312" w:cs="仿宋_GB2312"/>
          <w:b w:val="0"/>
          <w:i w:val="0"/>
          <w:caps w:val="0"/>
          <w:color w:val="222222"/>
          <w:spacing w:val="0"/>
          <w:sz w:val="32"/>
          <w:szCs w:val="32"/>
          <w:u w:val="none"/>
          <w:lang w:val="en-US" w:eastAsia="zh-Hans"/>
        </w:rPr>
        <w:t>为疫情前</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年的</w:t>
      </w:r>
      <w:r>
        <w:rPr>
          <w:rFonts w:hint="eastAsia" w:ascii="仿宋_GB2312" w:hAnsi="仿宋_GB2312" w:eastAsia="仿宋_GB2312" w:cs="仿宋_GB2312"/>
          <w:b w:val="0"/>
          <w:i w:val="0"/>
          <w:caps w:val="0"/>
          <w:color w:val="222222"/>
          <w:spacing w:val="0"/>
          <w:sz w:val="32"/>
          <w:szCs w:val="32"/>
          <w:u w:val="none"/>
          <w:lang w:eastAsia="zh-Hans"/>
        </w:rPr>
        <w:t>58%。</w:t>
      </w:r>
      <w:r>
        <w:rPr>
          <w:rFonts w:hint="eastAsia" w:ascii="仿宋_GB2312" w:hAnsi="仿宋_GB2312" w:eastAsia="仿宋_GB2312" w:cs="仿宋_GB2312"/>
          <w:b w:val="0"/>
          <w:i w:val="0"/>
          <w:caps w:val="0"/>
          <w:color w:val="222222"/>
          <w:spacing w:val="0"/>
          <w:sz w:val="32"/>
          <w:szCs w:val="32"/>
          <w:u w:val="none"/>
          <w:lang w:val="en-US" w:eastAsia="zh-Hans"/>
        </w:rPr>
        <w:t>经营收入较疫情前的</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年下降</w:t>
      </w:r>
      <w:r>
        <w:rPr>
          <w:rFonts w:hint="eastAsia" w:ascii="仿宋_GB2312" w:hAnsi="仿宋_GB2312" w:eastAsia="仿宋_GB2312" w:cs="仿宋_GB2312"/>
          <w:b w:val="0"/>
          <w:i w:val="0"/>
          <w:caps w:val="0"/>
          <w:color w:val="222222"/>
          <w:spacing w:val="0"/>
          <w:sz w:val="32"/>
          <w:szCs w:val="32"/>
          <w:u w:val="none"/>
          <w:lang w:eastAsia="zh-Hans"/>
        </w:rPr>
        <w:t>35%。</w:t>
      </w:r>
    </w:p>
    <w:p>
      <w:pPr>
        <w:pStyle w:val="17"/>
        <w:jc w:val="center"/>
        <w:rPr>
          <w:rFonts w:hint="eastAsia" w:ascii="仿宋_GB2312" w:hAnsi="仿宋_GB2312" w:eastAsia="仿宋_GB2312" w:cs="仿宋_GB2312"/>
          <w:b w:val="0"/>
          <w:i w:val="0"/>
          <w:caps w:val="0"/>
          <w:color w:val="222222"/>
          <w:spacing w:val="0"/>
          <w:sz w:val="32"/>
          <w:szCs w:val="32"/>
          <w:u w:val="none"/>
          <w:lang w:eastAsia="zh-Hans"/>
        </w:rPr>
      </w:pPr>
      <w:r>
        <w:drawing>
          <wp:inline distT="0" distB="0" distL="114300" distR="114300">
            <wp:extent cx="3865880" cy="2257425"/>
            <wp:effectExtent l="4445" t="4445" r="15875" b="508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numPr>
          <w:ilvl w:val="0"/>
          <w:numId w:val="0"/>
        </w:numPr>
        <w:jc w:val="center"/>
        <w:rPr>
          <w:rStyle w:val="19"/>
          <w:rFonts w:hint="eastAsia" w:ascii="宋体" w:hAnsi="宋体" w:eastAsia="宋体" w:cs="宋体"/>
          <w:sz w:val="20"/>
          <w:szCs w:val="20"/>
        </w:rPr>
      </w:pPr>
    </w:p>
    <w:p>
      <w:pPr>
        <w:numPr>
          <w:ilvl w:val="0"/>
          <w:numId w:val="0"/>
        </w:numPr>
        <w:jc w:val="center"/>
        <w:rPr>
          <w:rFonts w:hint="default" w:ascii="宋体" w:hAnsi="宋体" w:eastAsia="宋体" w:cs="宋体"/>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8  《阿惹妞》疫情前后市场状况对比</w:t>
      </w:r>
    </w:p>
    <w:p>
      <w:pPr>
        <w:keepNext w:val="0"/>
        <w:keepLines w:val="0"/>
        <w:pageBreakBefore w:val="0"/>
        <w:numPr>
          <w:ilvl w:val="0"/>
          <w:numId w:val="8"/>
        </w:numPr>
        <w:kinsoku/>
        <w:wordWrap/>
        <w:overflowPunct/>
        <w:topLinePunct w:val="0"/>
        <w:autoSpaceDE/>
        <w:autoSpaceDN/>
        <w:bidi w:val="0"/>
        <w:adjustRightInd/>
        <w:snapToGrid/>
        <w:spacing w:line="240" w:lineRule="auto"/>
        <w:ind w:left="0" w:leftChars="0" w:firstLine="643" w:firstLineChars="200"/>
        <w:textAlignment w:val="auto"/>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Hans"/>
        </w:rPr>
        <w:t>《乐舞三国与</w:t>
      </w:r>
      <w:r>
        <w:rPr>
          <w:rFonts w:hint="eastAsia" w:ascii="仿宋_GB2312" w:hAnsi="仿宋_GB2312" w:eastAsia="仿宋_GB2312" w:cs="仿宋_GB2312"/>
          <w:b/>
          <w:bCs/>
          <w:sz w:val="32"/>
          <w:szCs w:val="32"/>
          <w:lang w:val="en-US" w:eastAsia="zh-CN"/>
        </w:rPr>
        <w:t>蜀汉百戏</w:t>
      </w:r>
      <w:r>
        <w:rPr>
          <w:rFonts w:hint="eastAsia" w:ascii="仿宋_GB2312" w:hAnsi="仿宋_GB2312" w:eastAsia="仿宋_GB2312" w:cs="仿宋_GB2312"/>
          <w:b/>
          <w:bCs/>
          <w:sz w:val="32"/>
          <w:szCs w:val="32"/>
          <w:lang w:val="en-US" w:eastAsia="zh-Hans"/>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120" w:line="240" w:lineRule="auto"/>
        <w:ind w:firstLine="640" w:firstLineChars="200"/>
        <w:jc w:val="left"/>
        <w:textAlignment w:val="auto"/>
        <w:rPr>
          <w:rFonts w:hint="eastAsia" w:ascii="仿宋_GB2312" w:hAnsi="仿宋_GB2312" w:eastAsia="仿宋_GB2312" w:cs="仿宋_GB2312"/>
          <w:b w:val="0"/>
          <w:i w:val="0"/>
          <w:caps w:val="0"/>
          <w:color w:val="222222"/>
          <w:spacing w:val="0"/>
          <w:sz w:val="32"/>
          <w:szCs w:val="32"/>
          <w:u w:val="none"/>
          <w:lang w:val="en-US" w:eastAsia="zh-Hans"/>
        </w:rPr>
      </w:pPr>
      <w:r>
        <w:rPr>
          <w:rFonts w:hint="eastAsia" w:ascii="仿宋_GB2312" w:hAnsi="仿宋_GB2312" w:eastAsia="仿宋_GB2312" w:cs="仿宋_GB2312"/>
          <w:b w:val="0"/>
          <w:i w:val="0"/>
          <w:caps w:val="0"/>
          <w:color w:val="222222"/>
          <w:spacing w:val="0"/>
          <w:kern w:val="2"/>
          <w:sz w:val="32"/>
          <w:szCs w:val="32"/>
          <w:u w:val="none"/>
          <w:lang w:val="en-US" w:eastAsia="zh-Hans" w:bidi="ar-SA"/>
        </w:rPr>
        <w:t>《乐舞三国与</w:t>
      </w:r>
      <w:r>
        <w:rPr>
          <w:rFonts w:hint="eastAsia" w:ascii="仿宋_GB2312" w:hAnsi="仿宋_GB2312" w:eastAsia="仿宋_GB2312" w:cs="仿宋_GB2312"/>
          <w:b w:val="0"/>
          <w:i w:val="0"/>
          <w:caps w:val="0"/>
          <w:color w:val="222222"/>
          <w:spacing w:val="0"/>
          <w:kern w:val="2"/>
          <w:sz w:val="32"/>
          <w:szCs w:val="32"/>
          <w:u w:val="none"/>
          <w:lang w:val="en-US" w:eastAsia="zh-CN" w:bidi="ar-SA"/>
        </w:rPr>
        <w:t>蜀汉百戏</w:t>
      </w:r>
      <w:r>
        <w:rPr>
          <w:rFonts w:hint="eastAsia" w:ascii="仿宋_GB2312" w:hAnsi="仿宋_GB2312" w:eastAsia="仿宋_GB2312" w:cs="仿宋_GB2312"/>
          <w:b w:val="0"/>
          <w:i w:val="0"/>
          <w:caps w:val="0"/>
          <w:color w:val="222222"/>
          <w:spacing w:val="0"/>
          <w:kern w:val="2"/>
          <w:sz w:val="32"/>
          <w:szCs w:val="32"/>
          <w:u w:val="none"/>
          <w:lang w:val="en-US" w:eastAsia="zh-Hans" w:bidi="ar-SA"/>
        </w:rPr>
        <w:t>》</w:t>
      </w:r>
      <w:r>
        <w:rPr>
          <w:rFonts w:hint="eastAsia" w:ascii="仿宋_GB2312" w:hAnsi="仿宋_GB2312" w:eastAsia="仿宋_GB2312" w:cs="仿宋_GB2312"/>
          <w:b w:val="0"/>
          <w:i w:val="0"/>
          <w:caps w:val="0"/>
          <w:color w:val="222222"/>
          <w:spacing w:val="0"/>
          <w:kern w:val="2"/>
          <w:sz w:val="32"/>
          <w:szCs w:val="32"/>
          <w:u w:val="none"/>
          <w:lang w:val="en-US" w:eastAsia="zh-CN" w:bidi="ar-SA"/>
        </w:rPr>
        <w:t>2019年</w:t>
      </w:r>
      <w:r>
        <w:rPr>
          <w:rFonts w:hint="eastAsia" w:ascii="仿宋_GB2312" w:hAnsi="仿宋_GB2312" w:eastAsia="仿宋_GB2312" w:cs="仿宋_GB2312"/>
          <w:b w:val="0"/>
          <w:i w:val="0"/>
          <w:caps w:val="0"/>
          <w:color w:val="222222"/>
          <w:spacing w:val="0"/>
          <w:sz w:val="32"/>
          <w:szCs w:val="32"/>
          <w:u w:val="none"/>
          <w:lang w:val="en-US" w:eastAsia="zh-Hans"/>
        </w:rPr>
        <w:t>平均每天在武侯寺锦里结义楼演</w:t>
      </w:r>
      <w:r>
        <w:rPr>
          <w:rFonts w:hint="eastAsia" w:ascii="仿宋_GB2312" w:hAnsi="仿宋_GB2312" w:eastAsia="仿宋_GB2312" w:cs="仿宋_GB2312"/>
          <w:b w:val="0"/>
          <w:i w:val="0"/>
          <w:caps w:val="0"/>
          <w:color w:val="222222"/>
          <w:spacing w:val="0"/>
          <w:sz w:val="32"/>
          <w:szCs w:val="32"/>
          <w:u w:val="none"/>
          <w:lang w:eastAsia="zh-Hans"/>
        </w:rPr>
        <w:t>5</w:t>
      </w:r>
      <w:r>
        <w:rPr>
          <w:rFonts w:hint="eastAsia" w:ascii="仿宋_GB2312" w:hAnsi="仿宋_GB2312" w:eastAsia="仿宋_GB2312" w:cs="仿宋_GB2312"/>
          <w:b w:val="0"/>
          <w:i w:val="0"/>
          <w:caps w:val="0"/>
          <w:color w:val="222222"/>
          <w:spacing w:val="0"/>
          <w:sz w:val="32"/>
          <w:szCs w:val="32"/>
          <w:u w:val="none"/>
          <w:lang w:val="en-US" w:eastAsia="zh-Hans"/>
        </w:rPr>
        <w:t>场，全年共演出</w:t>
      </w:r>
      <w:r>
        <w:rPr>
          <w:rFonts w:hint="eastAsia" w:ascii="仿宋_GB2312" w:hAnsi="仿宋_GB2312" w:eastAsia="仿宋_GB2312" w:cs="仿宋_GB2312"/>
          <w:b w:val="0"/>
          <w:i w:val="0"/>
          <w:caps w:val="0"/>
          <w:color w:val="222222"/>
          <w:spacing w:val="0"/>
          <w:sz w:val="32"/>
          <w:szCs w:val="32"/>
          <w:u w:val="none"/>
          <w:lang w:eastAsia="zh-Hans"/>
        </w:rPr>
        <w:t>1800</w:t>
      </w:r>
      <w:r>
        <w:rPr>
          <w:rFonts w:hint="eastAsia" w:ascii="仿宋_GB2312" w:hAnsi="仿宋_GB2312" w:eastAsia="仿宋_GB2312" w:cs="仿宋_GB2312"/>
          <w:b w:val="0"/>
          <w:i w:val="0"/>
          <w:caps w:val="0"/>
          <w:color w:val="222222"/>
          <w:spacing w:val="0"/>
          <w:sz w:val="32"/>
          <w:szCs w:val="32"/>
          <w:u w:val="none"/>
          <w:lang w:val="en-US" w:eastAsia="zh-Hans"/>
        </w:rPr>
        <w:t>场，接待游客</w:t>
      </w:r>
      <w:r>
        <w:rPr>
          <w:rFonts w:hint="eastAsia" w:ascii="仿宋_GB2312" w:hAnsi="仿宋_GB2312" w:eastAsia="仿宋_GB2312" w:cs="仿宋_GB2312"/>
          <w:b w:val="0"/>
          <w:i w:val="0"/>
          <w:caps w:val="0"/>
          <w:color w:val="222222"/>
          <w:spacing w:val="0"/>
          <w:sz w:val="32"/>
          <w:szCs w:val="32"/>
          <w:u w:val="none"/>
          <w:lang w:eastAsia="zh-Hans"/>
        </w:rPr>
        <w:t>176400</w:t>
      </w:r>
      <w:r>
        <w:rPr>
          <w:rFonts w:hint="eastAsia" w:ascii="仿宋_GB2312" w:hAnsi="仿宋_GB2312" w:eastAsia="仿宋_GB2312" w:cs="仿宋_GB2312"/>
          <w:b w:val="0"/>
          <w:i w:val="0"/>
          <w:caps w:val="0"/>
          <w:color w:val="222222"/>
          <w:spacing w:val="0"/>
          <w:sz w:val="32"/>
          <w:szCs w:val="32"/>
          <w:u w:val="none"/>
          <w:lang w:val="en-US" w:eastAsia="zh-Hans"/>
        </w:rPr>
        <w:t>人次；受疫情影响，</w:t>
      </w:r>
      <w:r>
        <w:rPr>
          <w:rFonts w:hint="eastAsia" w:ascii="仿宋_GB2312" w:hAnsi="仿宋_GB2312" w:eastAsia="仿宋_GB2312" w:cs="仿宋_GB2312"/>
          <w:b w:val="0"/>
          <w:i w:val="0"/>
          <w:caps w:val="0"/>
          <w:color w:val="222222"/>
          <w:spacing w:val="0"/>
          <w:sz w:val="32"/>
          <w:szCs w:val="32"/>
          <w:u w:val="none"/>
          <w:lang w:eastAsia="zh-Hans"/>
        </w:rPr>
        <w:t>2021</w:t>
      </w:r>
      <w:r>
        <w:rPr>
          <w:rFonts w:hint="eastAsia" w:ascii="仿宋_GB2312" w:hAnsi="仿宋_GB2312" w:eastAsia="仿宋_GB2312" w:cs="仿宋_GB2312"/>
          <w:b w:val="0"/>
          <w:i w:val="0"/>
          <w:caps w:val="0"/>
          <w:color w:val="222222"/>
          <w:spacing w:val="0"/>
          <w:sz w:val="32"/>
          <w:szCs w:val="32"/>
          <w:u w:val="none"/>
          <w:lang w:val="en-US" w:eastAsia="zh-Hans"/>
        </w:rPr>
        <w:t>年全年仅演出</w:t>
      </w:r>
      <w:r>
        <w:rPr>
          <w:rFonts w:hint="eastAsia" w:ascii="仿宋_GB2312" w:hAnsi="仿宋_GB2312" w:eastAsia="仿宋_GB2312" w:cs="仿宋_GB2312"/>
          <w:b w:val="0"/>
          <w:i w:val="0"/>
          <w:caps w:val="0"/>
          <w:color w:val="222222"/>
          <w:spacing w:val="0"/>
          <w:sz w:val="32"/>
          <w:szCs w:val="32"/>
          <w:u w:val="none"/>
          <w:lang w:eastAsia="zh-Hans"/>
        </w:rPr>
        <w:t>300</w:t>
      </w:r>
      <w:r>
        <w:rPr>
          <w:rFonts w:hint="eastAsia" w:ascii="仿宋_GB2312" w:hAnsi="仿宋_GB2312" w:eastAsia="仿宋_GB2312" w:cs="仿宋_GB2312"/>
          <w:b w:val="0"/>
          <w:i w:val="0"/>
          <w:caps w:val="0"/>
          <w:color w:val="222222"/>
          <w:spacing w:val="0"/>
          <w:sz w:val="32"/>
          <w:szCs w:val="32"/>
          <w:u w:val="none"/>
          <w:lang w:val="en-US" w:eastAsia="zh-Hans"/>
        </w:rPr>
        <w:t>场，较疫情前的</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年减少</w:t>
      </w:r>
      <w:r>
        <w:rPr>
          <w:rFonts w:hint="eastAsia" w:ascii="仿宋_GB2312" w:hAnsi="仿宋_GB2312" w:eastAsia="仿宋_GB2312" w:cs="仿宋_GB2312"/>
          <w:b w:val="0"/>
          <w:i w:val="0"/>
          <w:caps w:val="0"/>
          <w:color w:val="222222"/>
          <w:spacing w:val="0"/>
          <w:sz w:val="32"/>
          <w:szCs w:val="32"/>
          <w:u w:val="none"/>
          <w:lang w:eastAsia="zh-Hans"/>
        </w:rPr>
        <w:t>1500</w:t>
      </w:r>
      <w:r>
        <w:rPr>
          <w:rFonts w:hint="eastAsia" w:ascii="仿宋_GB2312" w:hAnsi="仿宋_GB2312" w:eastAsia="仿宋_GB2312" w:cs="仿宋_GB2312"/>
          <w:b w:val="0"/>
          <w:i w:val="0"/>
          <w:caps w:val="0"/>
          <w:color w:val="222222"/>
          <w:spacing w:val="0"/>
          <w:sz w:val="32"/>
          <w:szCs w:val="32"/>
          <w:u w:val="none"/>
          <w:lang w:val="en-US" w:eastAsia="zh-Hans"/>
        </w:rPr>
        <w:t>场，为疫情前</w:t>
      </w:r>
      <w:r>
        <w:rPr>
          <w:rFonts w:hint="eastAsia" w:ascii="仿宋_GB2312" w:hAnsi="仿宋_GB2312" w:eastAsia="仿宋_GB2312" w:cs="仿宋_GB2312"/>
          <w:b w:val="0"/>
          <w:i w:val="0"/>
          <w:caps w:val="0"/>
          <w:color w:val="222222"/>
          <w:spacing w:val="0"/>
          <w:sz w:val="32"/>
          <w:szCs w:val="32"/>
          <w:u w:val="none"/>
          <w:lang w:eastAsia="zh-Hans"/>
        </w:rPr>
        <w:t>2019</w:t>
      </w:r>
      <w:r>
        <w:rPr>
          <w:rFonts w:hint="eastAsia" w:ascii="仿宋_GB2312" w:hAnsi="仿宋_GB2312" w:eastAsia="仿宋_GB2312" w:cs="仿宋_GB2312"/>
          <w:b w:val="0"/>
          <w:i w:val="0"/>
          <w:caps w:val="0"/>
          <w:color w:val="222222"/>
          <w:spacing w:val="0"/>
          <w:sz w:val="32"/>
          <w:szCs w:val="32"/>
          <w:u w:val="none"/>
          <w:lang w:val="en-US" w:eastAsia="zh-Hans"/>
        </w:rPr>
        <w:t>年演出场次的六分之一（</w:t>
      </w:r>
      <w:r>
        <w:rPr>
          <w:rFonts w:hint="eastAsia" w:ascii="仿宋_GB2312" w:hAnsi="仿宋_GB2312" w:eastAsia="仿宋_GB2312" w:cs="仿宋_GB2312"/>
          <w:b w:val="0"/>
          <w:i w:val="0"/>
          <w:caps w:val="0"/>
          <w:color w:val="222222"/>
          <w:spacing w:val="0"/>
          <w:sz w:val="32"/>
          <w:szCs w:val="32"/>
          <w:u w:val="none"/>
          <w:lang w:eastAsia="zh-Hans"/>
        </w:rPr>
        <w:t>16.7%</w:t>
      </w:r>
      <w:r>
        <w:rPr>
          <w:rFonts w:hint="eastAsia" w:ascii="仿宋_GB2312" w:hAnsi="仿宋_GB2312" w:eastAsia="仿宋_GB2312" w:cs="仿宋_GB2312"/>
          <w:b w:val="0"/>
          <w:i w:val="0"/>
          <w:caps w:val="0"/>
          <w:color w:val="222222"/>
          <w:spacing w:val="0"/>
          <w:sz w:val="32"/>
          <w:szCs w:val="32"/>
          <w:u w:val="none"/>
          <w:lang w:val="en-US" w:eastAsia="zh-Hans"/>
        </w:rPr>
        <w:t>）；接待游客</w:t>
      </w:r>
      <w:r>
        <w:rPr>
          <w:rFonts w:hint="eastAsia" w:ascii="仿宋_GB2312" w:hAnsi="仿宋_GB2312" w:eastAsia="仿宋_GB2312" w:cs="仿宋_GB2312"/>
          <w:b w:val="0"/>
          <w:i w:val="0"/>
          <w:caps w:val="0"/>
          <w:color w:val="222222"/>
          <w:spacing w:val="0"/>
          <w:sz w:val="32"/>
          <w:szCs w:val="32"/>
          <w:u w:val="none"/>
          <w:lang w:eastAsia="zh-Hans"/>
        </w:rPr>
        <w:t>28000</w:t>
      </w:r>
      <w:r>
        <w:rPr>
          <w:rFonts w:hint="eastAsia" w:ascii="仿宋_GB2312" w:hAnsi="仿宋_GB2312" w:eastAsia="仿宋_GB2312" w:cs="仿宋_GB2312"/>
          <w:b w:val="0"/>
          <w:i w:val="0"/>
          <w:caps w:val="0"/>
          <w:color w:val="222222"/>
          <w:spacing w:val="0"/>
          <w:sz w:val="32"/>
          <w:szCs w:val="32"/>
          <w:u w:val="none"/>
          <w:lang w:val="en-US" w:eastAsia="zh-Hans"/>
        </w:rPr>
        <w:t>人次，较疫情前</w:t>
      </w:r>
      <w:r>
        <w:rPr>
          <w:rFonts w:hint="eastAsia" w:ascii="仿宋_GB2312" w:hAnsi="仿宋_GB2312" w:eastAsia="仿宋_GB2312" w:cs="仿宋_GB2312"/>
          <w:b w:val="0"/>
          <w:i w:val="0"/>
          <w:caps w:val="0"/>
          <w:color w:val="222222"/>
          <w:spacing w:val="0"/>
          <w:sz w:val="32"/>
          <w:szCs w:val="32"/>
          <w:u w:val="none"/>
          <w:lang w:val="en-US"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年减少148400，占疫情前2019年接待游客数量不到六分之一（为15.9%），经营收入较2019年下降80%。</w:t>
      </w:r>
    </w:p>
    <w:p>
      <w:pPr>
        <w:jc w:val="center"/>
      </w:pPr>
      <w:r>
        <w:drawing>
          <wp:inline distT="0" distB="0" distL="114300" distR="114300">
            <wp:extent cx="4572000" cy="2743200"/>
            <wp:effectExtent l="4445" t="4445" r="14605" b="14605"/>
            <wp:docPr id="3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17"/>
      </w:pPr>
    </w:p>
    <w:p>
      <w:pPr>
        <w:numPr>
          <w:ilvl w:val="0"/>
          <w:numId w:val="0"/>
        </w:numPr>
        <w:jc w:val="center"/>
        <w:rPr>
          <w:rFonts w:hint="default" w:ascii="宋体" w:hAnsi="宋体" w:eastAsia="宋体" w:cs="宋体"/>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9  《乐舞三国与蜀汉百戏》疫情前后市场状况对比</w:t>
      </w:r>
    </w:p>
    <w:p>
      <w:pPr>
        <w:rPr>
          <w:rFonts w:hint="eastAsia"/>
          <w:lang w:val="en-US" w:eastAsia="zh-CN"/>
        </w:rPr>
      </w:pPr>
    </w:p>
    <w:p>
      <w:pPr>
        <w:keepNext w:val="0"/>
        <w:keepLines w:val="0"/>
        <w:pageBreakBefore w:val="0"/>
        <w:numPr>
          <w:ilvl w:val="0"/>
          <w:numId w:val="8"/>
        </w:numPr>
        <w:kinsoku/>
        <w:wordWrap/>
        <w:overflowPunct/>
        <w:topLinePunct w:val="0"/>
        <w:autoSpaceDE/>
        <w:autoSpaceDN/>
        <w:bidi w:val="0"/>
        <w:adjustRightInd/>
        <w:snapToGrid/>
        <w:spacing w:line="240" w:lineRule="auto"/>
        <w:ind w:left="0" w:leftChars="0" w:firstLine="643" w:firstLineChars="200"/>
        <w:textAlignment w:val="auto"/>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Hans"/>
        </w:rPr>
        <w:t>《芙蓉国粹——川剧秀》</w:t>
      </w:r>
    </w:p>
    <w:p>
      <w:pPr>
        <w:keepNext w:val="0"/>
        <w:keepLines w:val="0"/>
        <w:pageBreakBefore w:val="0"/>
        <w:kinsoku/>
        <w:wordWrap/>
        <w:overflowPunct/>
        <w:topLinePunct w:val="0"/>
        <w:autoSpaceDE/>
        <w:autoSpaceDN/>
        <w:bidi w:val="0"/>
        <w:adjustRightInd/>
        <w:snapToGrid/>
        <w:spacing w:line="240" w:lineRule="auto"/>
        <w:ind w:firstLine="641"/>
        <w:textAlignment w:val="auto"/>
        <w:rPr>
          <w:rFonts w:hint="eastAsia" w:ascii="仿宋_GB2312" w:hAnsi="仿宋_GB2312" w:eastAsia="仿宋_GB2312" w:cs="仿宋_GB2312"/>
          <w:b w:val="0"/>
          <w:i w:val="0"/>
          <w:caps w:val="0"/>
          <w:color w:val="222222"/>
          <w:spacing w:val="0"/>
          <w:sz w:val="32"/>
          <w:szCs w:val="32"/>
          <w:u w:val="none"/>
          <w:lang w:eastAsia="zh-Hans"/>
        </w:rPr>
      </w:pPr>
      <w:r>
        <w:rPr>
          <w:rFonts w:hint="eastAsia" w:ascii="仿宋_GB2312" w:hAnsi="仿宋_GB2312" w:eastAsia="仿宋_GB2312" w:cs="仿宋_GB2312"/>
          <w:b w:val="0"/>
          <w:i w:val="0"/>
          <w:caps w:val="0"/>
          <w:color w:val="222222"/>
          <w:spacing w:val="0"/>
          <w:sz w:val="32"/>
          <w:szCs w:val="32"/>
          <w:u w:val="none"/>
          <w:lang w:val="en-US" w:eastAsia="zh-Hans"/>
        </w:rPr>
        <w:t>《芙蓉国粹——川剧秀》</w:t>
      </w:r>
      <w:r>
        <w:rPr>
          <w:rFonts w:hint="eastAsia" w:ascii="仿宋_GB2312" w:hAnsi="仿宋_GB2312" w:eastAsia="仿宋_GB2312" w:cs="仿宋_GB2312"/>
          <w:b w:val="0"/>
          <w:i w:val="0"/>
          <w:caps w:val="0"/>
          <w:color w:val="222222"/>
          <w:spacing w:val="0"/>
          <w:sz w:val="32"/>
          <w:szCs w:val="32"/>
          <w:u w:val="none"/>
          <w:lang w:val="en-US" w:eastAsia="zh-CN"/>
        </w:rPr>
        <w:t>2019年</w:t>
      </w:r>
      <w:r>
        <w:rPr>
          <w:rFonts w:hint="eastAsia" w:ascii="仿宋_GB2312" w:hAnsi="仿宋_GB2312" w:eastAsia="仿宋_GB2312" w:cs="仿宋_GB2312"/>
          <w:b w:val="0"/>
          <w:i w:val="0"/>
          <w:caps w:val="0"/>
          <w:color w:val="222222"/>
          <w:spacing w:val="0"/>
          <w:sz w:val="32"/>
          <w:szCs w:val="32"/>
          <w:u w:val="none"/>
          <w:lang w:val="en-US" w:eastAsia="zh-Hans"/>
        </w:rPr>
        <w:t>全年演出</w:t>
      </w:r>
      <w:r>
        <w:rPr>
          <w:rFonts w:hint="eastAsia" w:ascii="仿宋_GB2312" w:hAnsi="仿宋_GB2312" w:eastAsia="仿宋_GB2312" w:cs="仿宋_GB2312"/>
          <w:b w:val="0"/>
          <w:i w:val="0"/>
          <w:caps w:val="0"/>
          <w:color w:val="222222"/>
          <w:spacing w:val="0"/>
          <w:sz w:val="32"/>
          <w:szCs w:val="32"/>
          <w:u w:val="none"/>
          <w:lang w:eastAsia="zh-Hans"/>
        </w:rPr>
        <w:t>506</w:t>
      </w:r>
      <w:r>
        <w:rPr>
          <w:rFonts w:hint="eastAsia" w:ascii="仿宋_GB2312" w:hAnsi="仿宋_GB2312" w:eastAsia="仿宋_GB2312" w:cs="仿宋_GB2312"/>
          <w:b w:val="0"/>
          <w:i w:val="0"/>
          <w:caps w:val="0"/>
          <w:color w:val="222222"/>
          <w:spacing w:val="0"/>
          <w:sz w:val="32"/>
          <w:szCs w:val="32"/>
          <w:u w:val="none"/>
          <w:lang w:val="en-US" w:eastAsia="zh-Hans"/>
        </w:rPr>
        <w:t>场，接待游客</w:t>
      </w:r>
      <w:r>
        <w:rPr>
          <w:rFonts w:hint="eastAsia" w:ascii="仿宋_GB2312" w:hAnsi="仿宋_GB2312" w:eastAsia="仿宋_GB2312" w:cs="仿宋_GB2312"/>
          <w:b w:val="0"/>
          <w:i w:val="0"/>
          <w:caps w:val="0"/>
          <w:color w:val="222222"/>
          <w:spacing w:val="0"/>
          <w:sz w:val="32"/>
          <w:szCs w:val="32"/>
          <w:u w:val="none"/>
          <w:lang w:eastAsia="zh-Hans"/>
        </w:rPr>
        <w:t>202400</w:t>
      </w:r>
      <w:r>
        <w:rPr>
          <w:rFonts w:hint="eastAsia" w:ascii="仿宋_GB2312" w:hAnsi="仿宋_GB2312" w:eastAsia="仿宋_GB2312" w:cs="仿宋_GB2312"/>
          <w:b w:val="0"/>
          <w:i w:val="0"/>
          <w:caps w:val="0"/>
          <w:color w:val="222222"/>
          <w:spacing w:val="0"/>
          <w:sz w:val="32"/>
          <w:szCs w:val="32"/>
          <w:u w:val="none"/>
          <w:lang w:val="en-US" w:eastAsia="zh-Hans"/>
        </w:rPr>
        <w:t>人次，受疫情影响，</w:t>
      </w:r>
      <w:r>
        <w:rPr>
          <w:rFonts w:hint="eastAsia" w:ascii="仿宋_GB2312" w:hAnsi="仿宋_GB2312" w:eastAsia="仿宋_GB2312" w:cs="仿宋_GB2312"/>
          <w:b w:val="0"/>
          <w:i w:val="0"/>
          <w:caps w:val="0"/>
          <w:color w:val="222222"/>
          <w:spacing w:val="0"/>
          <w:sz w:val="32"/>
          <w:szCs w:val="32"/>
          <w:u w:val="none"/>
          <w:lang w:eastAsia="zh-Hans"/>
        </w:rPr>
        <w:t>2021</w:t>
      </w:r>
      <w:r>
        <w:rPr>
          <w:rFonts w:hint="eastAsia" w:ascii="仿宋_GB2312" w:hAnsi="仿宋_GB2312" w:eastAsia="仿宋_GB2312" w:cs="仿宋_GB2312"/>
          <w:b w:val="0"/>
          <w:i w:val="0"/>
          <w:caps w:val="0"/>
          <w:color w:val="222222"/>
          <w:spacing w:val="0"/>
          <w:sz w:val="32"/>
          <w:szCs w:val="32"/>
          <w:u w:val="none"/>
          <w:lang w:val="en-US" w:eastAsia="zh-Hans"/>
        </w:rPr>
        <w:t>年全年仅演出</w:t>
      </w:r>
      <w:r>
        <w:rPr>
          <w:rFonts w:hint="eastAsia" w:ascii="仿宋_GB2312" w:hAnsi="仿宋_GB2312" w:eastAsia="仿宋_GB2312" w:cs="仿宋_GB2312"/>
          <w:b w:val="0"/>
          <w:i w:val="0"/>
          <w:caps w:val="0"/>
          <w:color w:val="222222"/>
          <w:spacing w:val="0"/>
          <w:sz w:val="32"/>
          <w:szCs w:val="32"/>
          <w:u w:val="none"/>
          <w:lang w:eastAsia="zh-Hans"/>
        </w:rPr>
        <w:t>168</w:t>
      </w:r>
      <w:r>
        <w:rPr>
          <w:rFonts w:hint="eastAsia" w:ascii="仿宋_GB2312" w:hAnsi="仿宋_GB2312" w:eastAsia="仿宋_GB2312" w:cs="仿宋_GB2312"/>
          <w:b w:val="0"/>
          <w:i w:val="0"/>
          <w:caps w:val="0"/>
          <w:color w:val="222222"/>
          <w:spacing w:val="0"/>
          <w:sz w:val="32"/>
          <w:szCs w:val="32"/>
          <w:u w:val="none"/>
          <w:lang w:val="en-US" w:eastAsia="zh-Hans"/>
        </w:rPr>
        <w:t>场，较</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年减少</w:t>
      </w:r>
      <w:r>
        <w:rPr>
          <w:rFonts w:hint="eastAsia" w:ascii="仿宋_GB2312" w:hAnsi="仿宋_GB2312" w:eastAsia="仿宋_GB2312" w:cs="仿宋_GB2312"/>
          <w:b w:val="0"/>
          <w:i w:val="0"/>
          <w:caps w:val="0"/>
          <w:color w:val="222222"/>
          <w:spacing w:val="0"/>
          <w:sz w:val="32"/>
          <w:szCs w:val="32"/>
          <w:u w:val="none"/>
          <w:lang w:eastAsia="zh-Hans"/>
        </w:rPr>
        <w:t>338</w:t>
      </w:r>
      <w:r>
        <w:rPr>
          <w:rFonts w:hint="eastAsia" w:ascii="仿宋_GB2312" w:hAnsi="仿宋_GB2312" w:eastAsia="仿宋_GB2312" w:cs="仿宋_GB2312"/>
          <w:b w:val="0"/>
          <w:i w:val="0"/>
          <w:caps w:val="0"/>
          <w:color w:val="222222"/>
          <w:spacing w:val="0"/>
          <w:sz w:val="32"/>
          <w:szCs w:val="32"/>
          <w:u w:val="none"/>
          <w:lang w:val="en-US" w:eastAsia="zh-Hans"/>
        </w:rPr>
        <w:t>场，为疫情前</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年的</w:t>
      </w:r>
      <w:r>
        <w:rPr>
          <w:rFonts w:hint="eastAsia" w:ascii="仿宋_GB2312" w:hAnsi="仿宋_GB2312" w:eastAsia="仿宋_GB2312" w:cs="仿宋_GB2312"/>
          <w:b w:val="0"/>
          <w:i w:val="0"/>
          <w:caps w:val="0"/>
          <w:color w:val="222222"/>
          <w:spacing w:val="0"/>
          <w:sz w:val="32"/>
          <w:szCs w:val="32"/>
          <w:u w:val="none"/>
          <w:lang w:eastAsia="zh-Hans"/>
        </w:rPr>
        <w:t>33%；</w:t>
      </w:r>
      <w:r>
        <w:rPr>
          <w:rFonts w:hint="eastAsia" w:ascii="仿宋_GB2312" w:hAnsi="仿宋_GB2312" w:eastAsia="仿宋_GB2312" w:cs="仿宋_GB2312"/>
          <w:b w:val="0"/>
          <w:i w:val="0"/>
          <w:caps w:val="0"/>
          <w:color w:val="222222"/>
          <w:spacing w:val="0"/>
          <w:sz w:val="32"/>
          <w:szCs w:val="32"/>
          <w:u w:val="none"/>
          <w:lang w:val="en-US" w:eastAsia="zh-Hans"/>
        </w:rPr>
        <w:t>接待游客</w:t>
      </w:r>
      <w:r>
        <w:rPr>
          <w:rFonts w:hint="eastAsia" w:ascii="仿宋_GB2312" w:hAnsi="仿宋_GB2312" w:eastAsia="仿宋_GB2312" w:cs="仿宋_GB2312"/>
          <w:color w:val="000000" w:themeColor="text1"/>
          <w:sz w:val="32"/>
          <w:szCs w:val="32"/>
          <w:lang w:eastAsia="zh-Hans"/>
          <w14:textFill>
            <w14:solidFill>
              <w14:schemeClr w14:val="tx1"/>
            </w14:solidFill>
          </w14:textFill>
        </w:rPr>
        <w:t>20150</w:t>
      </w:r>
      <w:r>
        <w:rPr>
          <w:rFonts w:hint="eastAsia" w:ascii="仿宋_GB2312" w:hAnsi="仿宋_GB2312" w:eastAsia="仿宋_GB2312" w:cs="仿宋_GB2312"/>
          <w:b w:val="0"/>
          <w:i w:val="0"/>
          <w:caps w:val="0"/>
          <w:color w:val="222222"/>
          <w:spacing w:val="0"/>
          <w:sz w:val="32"/>
          <w:szCs w:val="32"/>
          <w:u w:val="none"/>
          <w:lang w:val="en-US" w:eastAsia="zh-Hans"/>
        </w:rPr>
        <w:t>人次，较疫情前的</w:t>
      </w:r>
      <w:r>
        <w:rPr>
          <w:rFonts w:hint="eastAsia" w:ascii="仿宋_GB2312" w:hAnsi="仿宋_GB2312" w:eastAsia="仿宋_GB2312" w:cs="仿宋_GB2312"/>
          <w:b w:val="0"/>
          <w:i w:val="0"/>
          <w:caps w:val="0"/>
          <w:color w:val="222222"/>
          <w:spacing w:val="0"/>
          <w:sz w:val="32"/>
          <w:szCs w:val="32"/>
          <w:u w:val="none"/>
          <w:lang w:eastAsia="zh-Hans"/>
        </w:rPr>
        <w:t>2019</w:t>
      </w:r>
      <w:r>
        <w:rPr>
          <w:rFonts w:hint="eastAsia" w:ascii="仿宋_GB2312" w:hAnsi="仿宋_GB2312" w:eastAsia="仿宋_GB2312" w:cs="仿宋_GB2312"/>
          <w:b w:val="0"/>
          <w:i w:val="0"/>
          <w:caps w:val="0"/>
          <w:color w:val="222222"/>
          <w:spacing w:val="0"/>
          <w:sz w:val="32"/>
          <w:szCs w:val="32"/>
          <w:u w:val="none"/>
          <w:lang w:val="en-US" w:eastAsia="zh-Hans"/>
        </w:rPr>
        <w:t>年减少</w:t>
      </w:r>
      <w:r>
        <w:rPr>
          <w:rFonts w:hint="eastAsia" w:ascii="仿宋_GB2312" w:hAnsi="仿宋_GB2312" w:eastAsia="仿宋_GB2312" w:cs="仿宋_GB2312"/>
          <w:color w:val="000000" w:themeColor="text1"/>
          <w:sz w:val="32"/>
          <w:szCs w:val="32"/>
          <w:lang w:eastAsia="zh-Hans"/>
          <w14:textFill>
            <w14:solidFill>
              <w14:schemeClr w14:val="tx1"/>
            </w14:solidFill>
          </w14:textFill>
        </w:rPr>
        <w:t>182250</w:t>
      </w:r>
      <w:r>
        <w:rPr>
          <w:rFonts w:hint="eastAsia" w:ascii="仿宋_GB2312" w:hAnsi="仿宋_GB2312" w:eastAsia="仿宋_GB2312" w:cs="仿宋_GB2312"/>
          <w:b w:val="0"/>
          <w:i w:val="0"/>
          <w:caps w:val="0"/>
          <w:color w:val="222222"/>
          <w:spacing w:val="0"/>
          <w:sz w:val="32"/>
          <w:szCs w:val="32"/>
          <w:u w:val="none"/>
          <w:lang w:eastAsia="zh-Hans"/>
        </w:rPr>
        <w:t>；</w:t>
      </w:r>
      <w:r>
        <w:rPr>
          <w:rFonts w:hint="eastAsia" w:ascii="仿宋_GB2312" w:hAnsi="仿宋_GB2312" w:eastAsia="仿宋_GB2312" w:cs="仿宋_GB2312"/>
          <w:b w:val="0"/>
          <w:i w:val="0"/>
          <w:caps w:val="0"/>
          <w:color w:val="222222"/>
          <w:spacing w:val="0"/>
          <w:sz w:val="32"/>
          <w:szCs w:val="32"/>
          <w:u w:val="none"/>
          <w:lang w:val="en-US" w:eastAsia="zh-Hans"/>
        </w:rPr>
        <w:t>为疫情前</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年的</w:t>
      </w:r>
      <w:r>
        <w:rPr>
          <w:rFonts w:hint="eastAsia" w:ascii="仿宋_GB2312" w:hAnsi="仿宋_GB2312" w:eastAsia="仿宋_GB2312" w:cs="仿宋_GB2312"/>
          <w:b w:val="0"/>
          <w:i w:val="0"/>
          <w:caps w:val="0"/>
          <w:color w:val="222222"/>
          <w:spacing w:val="0"/>
          <w:sz w:val="32"/>
          <w:szCs w:val="32"/>
          <w:u w:val="none"/>
          <w:lang w:eastAsia="zh-Hans"/>
        </w:rPr>
        <w:t>10%。</w:t>
      </w:r>
      <w:r>
        <w:rPr>
          <w:rFonts w:hint="eastAsia" w:ascii="仿宋_GB2312" w:hAnsi="仿宋_GB2312" w:eastAsia="仿宋_GB2312" w:cs="仿宋_GB2312"/>
          <w:b w:val="0"/>
          <w:i w:val="0"/>
          <w:caps w:val="0"/>
          <w:color w:val="222222"/>
          <w:spacing w:val="0"/>
          <w:sz w:val="32"/>
          <w:szCs w:val="32"/>
          <w:u w:val="none"/>
          <w:lang w:val="en-US" w:eastAsia="zh-Hans"/>
        </w:rPr>
        <w:t>经营收入较疫情前的</w:t>
      </w:r>
      <w:r>
        <w:rPr>
          <w:rFonts w:hint="eastAsia" w:ascii="仿宋_GB2312" w:hAnsi="仿宋_GB2312" w:eastAsia="仿宋_GB2312" w:cs="仿宋_GB2312"/>
          <w:b w:val="0"/>
          <w:i w:val="0"/>
          <w:caps w:val="0"/>
          <w:color w:val="222222"/>
          <w:spacing w:val="0"/>
          <w:sz w:val="32"/>
          <w:szCs w:val="32"/>
          <w:u w:val="none"/>
          <w:lang w:eastAsia="zh-CN"/>
        </w:rPr>
        <w:t>2019</w:t>
      </w:r>
      <w:r>
        <w:rPr>
          <w:rFonts w:hint="eastAsia" w:ascii="仿宋_GB2312" w:hAnsi="仿宋_GB2312" w:eastAsia="仿宋_GB2312" w:cs="仿宋_GB2312"/>
          <w:b w:val="0"/>
          <w:i w:val="0"/>
          <w:caps w:val="0"/>
          <w:color w:val="222222"/>
          <w:spacing w:val="0"/>
          <w:sz w:val="32"/>
          <w:szCs w:val="32"/>
          <w:u w:val="none"/>
          <w:lang w:val="en-US" w:eastAsia="zh-Hans"/>
        </w:rPr>
        <w:t>年下降</w:t>
      </w:r>
      <w:r>
        <w:rPr>
          <w:rFonts w:hint="eastAsia" w:ascii="仿宋_GB2312" w:hAnsi="仿宋_GB2312" w:eastAsia="仿宋_GB2312" w:cs="仿宋_GB2312"/>
          <w:b w:val="0"/>
          <w:i w:val="0"/>
          <w:caps w:val="0"/>
          <w:color w:val="222222"/>
          <w:spacing w:val="0"/>
          <w:sz w:val="32"/>
          <w:szCs w:val="32"/>
          <w:u w:val="none"/>
          <w:lang w:eastAsia="zh-Hans"/>
        </w:rPr>
        <w:t>80%。</w:t>
      </w:r>
    </w:p>
    <w:p>
      <w:pPr>
        <w:pStyle w:val="17"/>
        <w:ind w:firstLine="641"/>
        <w:rPr>
          <w:rFonts w:hint="eastAsia"/>
          <w:lang w:val="en-US" w:eastAsia="zh-Hans"/>
        </w:rPr>
      </w:pPr>
    </w:p>
    <w:p>
      <w:pPr>
        <w:pStyle w:val="17"/>
        <w:jc w:val="center"/>
      </w:pPr>
      <w:r>
        <w:drawing>
          <wp:inline distT="0" distB="0" distL="114300" distR="114300">
            <wp:extent cx="4572000" cy="2743200"/>
            <wp:effectExtent l="4445" t="4445" r="14605" b="1460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
      <w:pPr>
        <w:numPr>
          <w:ilvl w:val="0"/>
          <w:numId w:val="0"/>
        </w:numPr>
        <w:jc w:val="center"/>
        <w:rPr>
          <w:rFonts w:hint="default" w:ascii="宋体" w:hAnsi="宋体" w:eastAsia="宋体" w:cs="宋体"/>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10  《芙蓉国粹——川剧秀》疫情前后市场状况对比</w:t>
      </w:r>
    </w:p>
    <w:p>
      <w:pPr>
        <w:pStyle w:val="17"/>
        <w:rPr>
          <w:rFonts w:hint="eastAsia"/>
          <w:lang w:val="en-US" w:eastAsia="zh-Hans"/>
        </w:rPr>
      </w:pPr>
    </w:p>
    <w:p>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643" w:firstLineChars="200"/>
        <w:jc w:val="both"/>
        <w:textAlignment w:val="auto"/>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lang w:val="en-US" w:eastAsia="zh-Hans"/>
        </w:rPr>
        <w:t>《今日今时安仁》</w:t>
      </w:r>
    </w:p>
    <w:p>
      <w:pPr>
        <w:keepNext w:val="0"/>
        <w:keepLines w:val="0"/>
        <w:pageBreakBefore w:val="0"/>
        <w:kinsoku/>
        <w:wordWrap/>
        <w:overflowPunct/>
        <w:topLinePunct w:val="0"/>
        <w:autoSpaceDE/>
        <w:autoSpaceDN/>
        <w:bidi w:val="0"/>
        <w:adjustRightInd/>
        <w:snapToGrid/>
        <w:spacing w:line="240" w:lineRule="auto"/>
        <w:ind w:firstLine="641"/>
        <w:textAlignment w:val="auto"/>
        <w:rPr>
          <w:rFonts w:hint="eastAsia" w:ascii="仿宋_GB2312" w:hAnsi="仿宋_GB2312" w:eastAsia="仿宋_GB2312" w:cs="仿宋_GB2312"/>
          <w:b w:val="0"/>
          <w:i w:val="0"/>
          <w:caps w:val="0"/>
          <w:color w:val="222222"/>
          <w:spacing w:val="0"/>
          <w:sz w:val="32"/>
          <w:szCs w:val="32"/>
          <w:u w:val="none"/>
          <w:lang w:eastAsia="zh-CN"/>
        </w:rPr>
      </w:pPr>
      <w:r>
        <w:rPr>
          <w:rFonts w:hint="eastAsia" w:ascii="仿宋_GB2312" w:hAnsi="仿宋_GB2312" w:eastAsia="仿宋_GB2312" w:cs="仿宋_GB2312"/>
          <w:b w:val="0"/>
          <w:i w:val="0"/>
          <w:caps w:val="0"/>
          <w:color w:val="222222"/>
          <w:spacing w:val="0"/>
          <w:sz w:val="32"/>
          <w:szCs w:val="32"/>
          <w:u w:val="none"/>
          <w:lang w:eastAsia="zh-Hans"/>
        </w:rPr>
        <w:t>2021</w:t>
      </w:r>
      <w:r>
        <w:rPr>
          <w:rFonts w:hint="eastAsia" w:ascii="仿宋_GB2312" w:hAnsi="仿宋_GB2312" w:eastAsia="仿宋_GB2312" w:cs="仿宋_GB2312"/>
          <w:b w:val="0"/>
          <w:i w:val="0"/>
          <w:caps w:val="0"/>
          <w:color w:val="222222"/>
          <w:spacing w:val="0"/>
          <w:sz w:val="32"/>
          <w:szCs w:val="32"/>
          <w:u w:val="none"/>
          <w:lang w:val="en-US" w:eastAsia="zh-Hans"/>
        </w:rPr>
        <w:t>年演出场次</w:t>
      </w:r>
      <w:r>
        <w:rPr>
          <w:rFonts w:hint="eastAsia" w:ascii="仿宋_GB2312" w:hAnsi="仿宋_GB2312" w:eastAsia="仿宋_GB2312" w:cs="仿宋_GB2312"/>
          <w:b w:val="0"/>
          <w:i w:val="0"/>
          <w:caps w:val="0"/>
          <w:color w:val="222222"/>
          <w:spacing w:val="0"/>
          <w:sz w:val="32"/>
          <w:szCs w:val="32"/>
          <w:u w:val="none"/>
          <w:lang w:eastAsia="zh-Hans"/>
        </w:rPr>
        <w:t>280</w:t>
      </w:r>
      <w:r>
        <w:rPr>
          <w:rFonts w:hint="eastAsia" w:ascii="仿宋_GB2312" w:hAnsi="仿宋_GB2312" w:eastAsia="仿宋_GB2312" w:cs="仿宋_GB2312"/>
          <w:b w:val="0"/>
          <w:i w:val="0"/>
          <w:caps w:val="0"/>
          <w:color w:val="222222"/>
          <w:spacing w:val="0"/>
          <w:sz w:val="32"/>
          <w:szCs w:val="32"/>
          <w:u w:val="none"/>
          <w:lang w:val="en-US" w:eastAsia="zh-Hans"/>
        </w:rPr>
        <w:t>场，接待游客</w:t>
      </w:r>
      <w:r>
        <w:rPr>
          <w:rFonts w:hint="eastAsia" w:ascii="仿宋_GB2312" w:hAnsi="仿宋_GB2312" w:eastAsia="仿宋_GB2312" w:cs="仿宋_GB2312"/>
          <w:b w:val="0"/>
          <w:i w:val="0"/>
          <w:caps w:val="0"/>
          <w:color w:val="222222"/>
          <w:spacing w:val="0"/>
          <w:sz w:val="32"/>
          <w:szCs w:val="32"/>
          <w:u w:val="none"/>
          <w:lang w:eastAsia="zh-Hans"/>
        </w:rPr>
        <w:t>15000</w:t>
      </w:r>
      <w:r>
        <w:rPr>
          <w:rFonts w:hint="eastAsia" w:ascii="仿宋_GB2312" w:hAnsi="仿宋_GB2312" w:eastAsia="仿宋_GB2312" w:cs="仿宋_GB2312"/>
          <w:b w:val="0"/>
          <w:i w:val="0"/>
          <w:caps w:val="0"/>
          <w:color w:val="222222"/>
          <w:spacing w:val="0"/>
          <w:sz w:val="32"/>
          <w:szCs w:val="32"/>
          <w:u w:val="none"/>
          <w:lang w:val="en-US" w:eastAsia="zh-Hans"/>
        </w:rPr>
        <w:t>人次，较疫情前的</w:t>
      </w:r>
      <w:r>
        <w:rPr>
          <w:rFonts w:hint="eastAsia" w:ascii="仿宋_GB2312" w:hAnsi="仿宋_GB2312" w:eastAsia="仿宋_GB2312" w:cs="仿宋_GB2312"/>
          <w:b w:val="0"/>
          <w:i w:val="0"/>
          <w:caps w:val="0"/>
          <w:color w:val="222222"/>
          <w:spacing w:val="0"/>
          <w:sz w:val="32"/>
          <w:szCs w:val="32"/>
          <w:u w:val="none"/>
          <w:lang w:eastAsia="zh-Hans"/>
        </w:rPr>
        <w:t>2019</w:t>
      </w:r>
      <w:r>
        <w:rPr>
          <w:rFonts w:hint="eastAsia" w:ascii="仿宋_GB2312" w:hAnsi="仿宋_GB2312" w:eastAsia="仿宋_GB2312" w:cs="仿宋_GB2312"/>
          <w:b w:val="0"/>
          <w:i w:val="0"/>
          <w:caps w:val="0"/>
          <w:color w:val="222222"/>
          <w:spacing w:val="0"/>
          <w:sz w:val="32"/>
          <w:szCs w:val="32"/>
          <w:u w:val="none"/>
          <w:lang w:val="en-US" w:eastAsia="zh-Hans"/>
        </w:rPr>
        <w:t>年减少</w:t>
      </w:r>
      <w:r>
        <w:rPr>
          <w:rFonts w:hint="eastAsia" w:ascii="仿宋_GB2312" w:hAnsi="仿宋_GB2312" w:eastAsia="仿宋_GB2312" w:cs="仿宋_GB2312"/>
          <w:b w:val="0"/>
          <w:i w:val="0"/>
          <w:caps w:val="0"/>
          <w:color w:val="222222"/>
          <w:spacing w:val="0"/>
          <w:sz w:val="32"/>
          <w:szCs w:val="32"/>
          <w:u w:val="none"/>
          <w:lang w:eastAsia="zh-Hans"/>
        </w:rPr>
        <w:t>20</w:t>
      </w:r>
      <w:r>
        <w:rPr>
          <w:rFonts w:hint="eastAsia" w:ascii="仿宋_GB2312" w:hAnsi="仿宋_GB2312" w:eastAsia="仿宋_GB2312" w:cs="仿宋_GB2312"/>
          <w:b w:val="0"/>
          <w:i w:val="0"/>
          <w:caps w:val="0"/>
          <w:color w:val="222222"/>
          <w:spacing w:val="0"/>
          <w:sz w:val="32"/>
          <w:szCs w:val="32"/>
          <w:u w:val="none"/>
          <w:lang w:val="en-US" w:eastAsia="zh-Hans"/>
        </w:rPr>
        <w:t>场，但接待游客数比</w:t>
      </w:r>
      <w:r>
        <w:rPr>
          <w:rFonts w:hint="eastAsia" w:ascii="仿宋_GB2312" w:hAnsi="仿宋_GB2312" w:eastAsia="仿宋_GB2312" w:cs="仿宋_GB2312"/>
          <w:b w:val="0"/>
          <w:i w:val="0"/>
          <w:caps w:val="0"/>
          <w:color w:val="222222"/>
          <w:spacing w:val="0"/>
          <w:sz w:val="32"/>
          <w:szCs w:val="32"/>
          <w:u w:val="none"/>
          <w:lang w:eastAsia="zh-Hans"/>
        </w:rPr>
        <w:t>2019</w:t>
      </w:r>
      <w:r>
        <w:rPr>
          <w:rFonts w:hint="eastAsia" w:ascii="仿宋_GB2312" w:hAnsi="仿宋_GB2312" w:eastAsia="仿宋_GB2312" w:cs="仿宋_GB2312"/>
          <w:b w:val="0"/>
          <w:i w:val="0"/>
          <w:caps w:val="0"/>
          <w:color w:val="222222"/>
          <w:spacing w:val="0"/>
          <w:sz w:val="32"/>
          <w:szCs w:val="32"/>
          <w:u w:val="none"/>
          <w:lang w:val="en-US" w:eastAsia="zh-Hans"/>
        </w:rPr>
        <w:t>年减少</w:t>
      </w:r>
      <w:r>
        <w:rPr>
          <w:rFonts w:hint="eastAsia" w:ascii="仿宋_GB2312" w:hAnsi="仿宋_GB2312" w:eastAsia="仿宋_GB2312" w:cs="仿宋_GB2312"/>
          <w:b w:val="0"/>
          <w:i w:val="0"/>
          <w:caps w:val="0"/>
          <w:color w:val="222222"/>
          <w:spacing w:val="0"/>
          <w:sz w:val="32"/>
          <w:szCs w:val="32"/>
          <w:u w:val="none"/>
          <w:lang w:eastAsia="zh-Hans"/>
        </w:rPr>
        <w:t>4000</w:t>
      </w:r>
      <w:r>
        <w:rPr>
          <w:rFonts w:hint="eastAsia" w:ascii="仿宋_GB2312" w:hAnsi="仿宋_GB2312" w:eastAsia="仿宋_GB2312" w:cs="仿宋_GB2312"/>
          <w:b w:val="0"/>
          <w:i w:val="0"/>
          <w:caps w:val="0"/>
          <w:color w:val="222222"/>
          <w:spacing w:val="0"/>
          <w:sz w:val="32"/>
          <w:szCs w:val="32"/>
          <w:u w:val="none"/>
          <w:lang w:val="en-US" w:eastAsia="zh-Hans"/>
        </w:rPr>
        <w:t>人。经营收入较疫情前的</w:t>
      </w:r>
      <w:r>
        <w:rPr>
          <w:rFonts w:hint="eastAsia" w:ascii="仿宋_GB2312" w:hAnsi="仿宋_GB2312" w:eastAsia="仿宋_GB2312" w:cs="仿宋_GB2312"/>
          <w:b w:val="0"/>
          <w:i w:val="0"/>
          <w:caps w:val="0"/>
          <w:color w:val="222222"/>
          <w:spacing w:val="0"/>
          <w:sz w:val="32"/>
          <w:szCs w:val="32"/>
          <w:u w:val="none"/>
          <w:lang w:eastAsia="zh-Hans"/>
        </w:rPr>
        <w:t>2019</w:t>
      </w:r>
      <w:r>
        <w:rPr>
          <w:rFonts w:hint="eastAsia" w:ascii="仿宋_GB2312" w:hAnsi="仿宋_GB2312" w:eastAsia="仿宋_GB2312" w:cs="仿宋_GB2312"/>
          <w:b w:val="0"/>
          <w:i w:val="0"/>
          <w:caps w:val="0"/>
          <w:color w:val="222222"/>
          <w:spacing w:val="0"/>
          <w:sz w:val="32"/>
          <w:szCs w:val="32"/>
          <w:u w:val="none"/>
          <w:lang w:val="en-US" w:eastAsia="zh-Hans"/>
        </w:rPr>
        <w:t>年下降</w:t>
      </w:r>
      <w:r>
        <w:rPr>
          <w:rFonts w:hint="eastAsia" w:ascii="仿宋_GB2312" w:hAnsi="仿宋_GB2312" w:eastAsia="仿宋_GB2312" w:cs="仿宋_GB2312"/>
          <w:b w:val="0"/>
          <w:i w:val="0"/>
          <w:caps w:val="0"/>
          <w:color w:val="222222"/>
          <w:spacing w:val="0"/>
          <w:sz w:val="32"/>
          <w:szCs w:val="32"/>
          <w:u w:val="none"/>
          <w:lang w:eastAsia="zh-Hans"/>
        </w:rPr>
        <w:t>25%</w:t>
      </w:r>
      <w:r>
        <w:rPr>
          <w:rFonts w:hint="eastAsia" w:ascii="仿宋_GB2312" w:hAnsi="仿宋_GB2312" w:eastAsia="仿宋_GB2312" w:cs="仿宋_GB2312"/>
          <w:b w:val="0"/>
          <w:i w:val="0"/>
          <w:caps w:val="0"/>
          <w:color w:val="222222"/>
          <w:spacing w:val="0"/>
          <w:sz w:val="32"/>
          <w:szCs w:val="32"/>
          <w:u w:val="none"/>
          <w:lang w:eastAsia="zh-CN"/>
        </w:rPr>
        <w:t>。</w:t>
      </w:r>
    </w:p>
    <w:p>
      <w:pPr>
        <w:pStyle w:val="17"/>
        <w:ind w:firstLine="641"/>
      </w:pPr>
      <w:r>
        <w:drawing>
          <wp:inline distT="0" distB="0" distL="114300" distR="114300">
            <wp:extent cx="4572000" cy="2743200"/>
            <wp:effectExtent l="4445" t="4445" r="14605" b="14605"/>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
      <w:pPr>
        <w:numPr>
          <w:ilvl w:val="0"/>
          <w:numId w:val="0"/>
        </w:numPr>
        <w:jc w:val="center"/>
        <w:rPr>
          <w:rFonts w:hint="default" w:ascii="宋体" w:hAnsi="宋体" w:eastAsia="宋体" w:cs="宋体"/>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11  《今日今时安仁》疫情前后市场状况对比</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643" w:firstLineChars="200"/>
        <w:jc w:val="both"/>
        <w:textAlignment w:val="auto"/>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CN"/>
        </w:rPr>
        <w:t xml:space="preserve">6. </w:t>
      </w:r>
      <w:r>
        <w:rPr>
          <w:rFonts w:hint="eastAsia" w:ascii="仿宋_GB2312" w:hAnsi="仿宋_GB2312" w:eastAsia="仿宋_GB2312" w:cs="仿宋_GB2312"/>
          <w:b/>
          <w:bCs/>
          <w:sz w:val="32"/>
          <w:szCs w:val="32"/>
          <w:lang w:val="en-US" w:eastAsia="zh-Hans"/>
        </w:rPr>
        <w:t>《只有峨眉山》</w:t>
      </w:r>
    </w:p>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00"/>
        <w:textAlignment w:val="auto"/>
        <w:outlineLvl w:val="9"/>
        <w:rPr>
          <w:rFonts w:hint="eastAsia" w:ascii="仿宋_GB2312" w:hAnsi="仿宋_GB2312" w:eastAsia="仿宋_GB2312" w:cs="仿宋_GB2312"/>
          <w:color w:val="000000" w:themeColor="text1"/>
          <w:sz w:val="32"/>
          <w:szCs w:val="32"/>
          <w:vertAlign w:val="baseline"/>
          <w:lang w:eastAsia="zh-Hans"/>
          <w14:textFill>
            <w14:solidFill>
              <w14:schemeClr w14:val="tx1"/>
            </w14:solidFill>
          </w14:textFill>
        </w:rPr>
      </w:pPr>
      <w:r>
        <w:rPr>
          <w:rFonts w:hint="eastAsia" w:ascii="仿宋_GB2312" w:hAnsi="仿宋_GB2312" w:eastAsia="仿宋_GB2312" w:cs="仿宋_GB2312"/>
          <w:b w:val="0"/>
          <w:i w:val="0"/>
          <w:caps w:val="0"/>
          <w:color w:val="222222"/>
          <w:spacing w:val="0"/>
          <w:sz w:val="32"/>
          <w:szCs w:val="32"/>
          <w:u w:val="none"/>
          <w:lang w:val="en-US" w:eastAsia="zh-Hans"/>
        </w:rPr>
        <w:t>《</w:t>
      </w:r>
      <w:r>
        <w:rPr>
          <w:rFonts w:hint="eastAsia" w:ascii="仿宋_GB2312" w:hAnsi="仿宋_GB2312" w:eastAsia="仿宋_GB2312" w:cs="仿宋_GB2312"/>
          <w:b w:val="0"/>
          <w:i w:val="0"/>
          <w:caps w:val="0"/>
          <w:color w:val="222222"/>
          <w:spacing w:val="0"/>
          <w:sz w:val="32"/>
          <w:szCs w:val="32"/>
          <w:u w:val="none"/>
          <w:lang w:val="en-US" w:eastAsia="zh-CN"/>
        </w:rPr>
        <w:t>只有峨眉山</w:t>
      </w:r>
      <w:r>
        <w:rPr>
          <w:rFonts w:hint="eastAsia" w:ascii="仿宋_GB2312" w:hAnsi="仿宋_GB2312" w:eastAsia="仿宋_GB2312" w:cs="仿宋_GB2312"/>
          <w:b w:val="0"/>
          <w:i w:val="0"/>
          <w:caps w:val="0"/>
          <w:color w:val="222222"/>
          <w:spacing w:val="0"/>
          <w:sz w:val="32"/>
          <w:szCs w:val="32"/>
          <w:u w:val="none"/>
          <w:lang w:val="en-US" w:eastAsia="zh-Hans"/>
        </w:rPr>
        <w:t>》</w:t>
      </w:r>
      <w:r>
        <w:rPr>
          <w:rFonts w:hint="eastAsia" w:ascii="仿宋_GB2312" w:hAnsi="仿宋_GB2312" w:eastAsia="仿宋_GB2312" w:cs="仿宋_GB2312"/>
          <w:b w:val="0"/>
          <w:i w:val="0"/>
          <w:caps w:val="0"/>
          <w:color w:val="222222"/>
          <w:spacing w:val="0"/>
          <w:sz w:val="32"/>
          <w:szCs w:val="32"/>
          <w:u w:val="none"/>
          <w:lang w:val="en-US" w:eastAsia="zh-CN"/>
        </w:rPr>
        <w:t>·戏剧幻城</w:t>
      </w:r>
      <w:r>
        <w:rPr>
          <w:rFonts w:hint="eastAsia" w:ascii="仿宋_GB2312" w:hAnsi="仿宋_GB2312" w:eastAsia="仿宋_GB2312" w:cs="仿宋_GB2312"/>
          <w:b w:val="0"/>
          <w:i w:val="0"/>
          <w:caps w:val="0"/>
          <w:color w:val="222222"/>
          <w:spacing w:val="0"/>
          <w:kern w:val="2"/>
          <w:sz w:val="32"/>
          <w:szCs w:val="32"/>
          <w:u w:val="none"/>
          <w:lang w:eastAsia="zh-CN" w:bidi="ar-SA"/>
        </w:rPr>
        <w:t>2019</w:t>
      </w:r>
      <w:r>
        <w:rPr>
          <w:rFonts w:hint="eastAsia" w:ascii="仿宋_GB2312" w:hAnsi="仿宋_GB2312" w:eastAsia="仿宋_GB2312" w:cs="仿宋_GB2312"/>
          <w:b w:val="0"/>
          <w:i w:val="0"/>
          <w:caps w:val="0"/>
          <w:color w:val="222222"/>
          <w:spacing w:val="0"/>
          <w:kern w:val="2"/>
          <w:sz w:val="32"/>
          <w:szCs w:val="32"/>
          <w:u w:val="none"/>
          <w:lang w:val="en-US" w:eastAsia="zh-Hans" w:bidi="ar-SA"/>
        </w:rPr>
        <w:t>年</w:t>
      </w:r>
      <w:r>
        <w:rPr>
          <w:rFonts w:hint="eastAsia" w:ascii="仿宋_GB2312" w:hAnsi="仿宋_GB2312" w:eastAsia="仿宋_GB2312" w:cs="仿宋_GB2312"/>
          <w:b w:val="0"/>
          <w:i w:val="0"/>
          <w:caps w:val="0"/>
          <w:color w:val="222222"/>
          <w:spacing w:val="0"/>
          <w:kern w:val="2"/>
          <w:sz w:val="32"/>
          <w:szCs w:val="32"/>
          <w:u w:val="none"/>
          <w:lang w:eastAsia="zh-Hans" w:bidi="ar-SA"/>
        </w:rPr>
        <w:t>9</w:t>
      </w:r>
      <w:r>
        <w:rPr>
          <w:rFonts w:hint="eastAsia" w:ascii="仿宋_GB2312" w:hAnsi="仿宋_GB2312" w:eastAsia="仿宋_GB2312" w:cs="仿宋_GB2312"/>
          <w:b w:val="0"/>
          <w:i w:val="0"/>
          <w:caps w:val="0"/>
          <w:color w:val="222222"/>
          <w:spacing w:val="0"/>
          <w:kern w:val="2"/>
          <w:sz w:val="32"/>
          <w:szCs w:val="32"/>
          <w:u w:val="none"/>
          <w:lang w:val="en-US" w:eastAsia="zh-Hans" w:bidi="ar-SA"/>
        </w:rPr>
        <w:t>月</w:t>
      </w:r>
      <w:r>
        <w:rPr>
          <w:rFonts w:hint="eastAsia" w:ascii="仿宋_GB2312" w:hAnsi="仿宋_GB2312" w:eastAsia="仿宋_GB2312" w:cs="仿宋_GB2312"/>
          <w:b w:val="0"/>
          <w:i w:val="0"/>
          <w:caps w:val="0"/>
          <w:color w:val="222222"/>
          <w:spacing w:val="0"/>
          <w:kern w:val="2"/>
          <w:sz w:val="32"/>
          <w:szCs w:val="32"/>
          <w:u w:val="none"/>
          <w:lang w:eastAsia="zh-Hans" w:bidi="ar-SA"/>
        </w:rPr>
        <w:t>25</w:t>
      </w:r>
      <w:r>
        <w:rPr>
          <w:rFonts w:hint="eastAsia" w:ascii="仿宋_GB2312" w:hAnsi="仿宋_GB2312" w:eastAsia="仿宋_GB2312" w:cs="仿宋_GB2312"/>
          <w:b w:val="0"/>
          <w:i w:val="0"/>
          <w:caps w:val="0"/>
          <w:color w:val="222222"/>
          <w:spacing w:val="0"/>
          <w:kern w:val="2"/>
          <w:sz w:val="32"/>
          <w:szCs w:val="32"/>
          <w:u w:val="none"/>
          <w:lang w:val="en-US" w:eastAsia="zh-Hans" w:bidi="ar-SA"/>
        </w:rPr>
        <w:t>日正式公演，平均每天演出一场，到</w:t>
      </w:r>
      <w:r>
        <w:rPr>
          <w:rFonts w:hint="eastAsia" w:ascii="仿宋_GB2312" w:hAnsi="仿宋_GB2312" w:eastAsia="仿宋_GB2312" w:cs="仿宋_GB2312"/>
          <w:b w:val="0"/>
          <w:i w:val="0"/>
          <w:caps w:val="0"/>
          <w:color w:val="222222"/>
          <w:spacing w:val="0"/>
          <w:kern w:val="2"/>
          <w:sz w:val="32"/>
          <w:szCs w:val="32"/>
          <w:u w:val="none"/>
          <w:lang w:eastAsia="zh-Hans" w:bidi="ar-SA"/>
        </w:rPr>
        <w:t>2019</w:t>
      </w:r>
      <w:r>
        <w:rPr>
          <w:rFonts w:hint="eastAsia" w:ascii="仿宋_GB2312" w:hAnsi="仿宋_GB2312" w:eastAsia="仿宋_GB2312" w:cs="仿宋_GB2312"/>
          <w:b w:val="0"/>
          <w:i w:val="0"/>
          <w:caps w:val="0"/>
          <w:color w:val="222222"/>
          <w:spacing w:val="0"/>
          <w:kern w:val="2"/>
          <w:sz w:val="32"/>
          <w:szCs w:val="32"/>
          <w:u w:val="none"/>
          <w:lang w:val="en-US" w:eastAsia="zh-Hans" w:bidi="ar-SA"/>
        </w:rPr>
        <w:t>年底共演出</w:t>
      </w:r>
      <w:r>
        <w:rPr>
          <w:rFonts w:hint="eastAsia" w:ascii="仿宋_GB2312" w:hAnsi="仿宋_GB2312" w:eastAsia="仿宋_GB2312" w:cs="仿宋_GB2312"/>
          <w:b w:val="0"/>
          <w:i w:val="0"/>
          <w:caps w:val="0"/>
          <w:color w:val="222222"/>
          <w:spacing w:val="0"/>
          <w:kern w:val="2"/>
          <w:sz w:val="32"/>
          <w:szCs w:val="32"/>
          <w:u w:val="none"/>
          <w:lang w:eastAsia="zh-Hans" w:bidi="ar-SA"/>
        </w:rPr>
        <w:t>98</w:t>
      </w:r>
      <w:r>
        <w:rPr>
          <w:rFonts w:hint="eastAsia" w:ascii="仿宋_GB2312" w:hAnsi="仿宋_GB2312" w:eastAsia="仿宋_GB2312" w:cs="仿宋_GB2312"/>
          <w:b w:val="0"/>
          <w:i w:val="0"/>
          <w:caps w:val="0"/>
          <w:color w:val="222222"/>
          <w:spacing w:val="0"/>
          <w:kern w:val="2"/>
          <w:sz w:val="32"/>
          <w:szCs w:val="32"/>
          <w:u w:val="none"/>
          <w:lang w:val="en-US" w:eastAsia="zh-Hans" w:bidi="ar-SA"/>
        </w:rPr>
        <w:t>场，接待游客</w:t>
      </w:r>
      <w:r>
        <w:rPr>
          <w:rFonts w:hint="eastAsia" w:ascii="仿宋_GB2312" w:hAnsi="仿宋_GB2312" w:eastAsia="仿宋_GB2312" w:cs="仿宋_GB2312"/>
          <w:color w:val="000000" w:themeColor="text1"/>
          <w:sz w:val="32"/>
          <w:szCs w:val="32"/>
          <w:vertAlign w:val="baseline"/>
          <w:lang w:eastAsia="zh-Hans"/>
          <w14:textFill>
            <w14:solidFill>
              <w14:schemeClr w14:val="tx1"/>
            </w14:solidFill>
          </w14:textFill>
        </w:rPr>
        <w:t>24774</w:t>
      </w:r>
      <w:r>
        <w:rPr>
          <w:rFonts w:hint="eastAsia" w:ascii="仿宋_GB2312" w:hAnsi="仿宋_GB2312" w:eastAsia="仿宋_GB2312" w:cs="仿宋_GB2312"/>
          <w:b w:val="0"/>
          <w:i w:val="0"/>
          <w:caps w:val="0"/>
          <w:color w:val="222222"/>
          <w:spacing w:val="0"/>
          <w:kern w:val="2"/>
          <w:sz w:val="32"/>
          <w:szCs w:val="32"/>
          <w:u w:val="none"/>
          <w:lang w:val="en-US" w:eastAsia="zh-Hans" w:bidi="ar-SA"/>
        </w:rPr>
        <w:t>人次，平均每场接待游客</w:t>
      </w:r>
      <w:r>
        <w:rPr>
          <w:rFonts w:hint="eastAsia" w:ascii="仿宋_GB2312" w:hAnsi="仿宋_GB2312" w:eastAsia="仿宋_GB2312" w:cs="仿宋_GB2312"/>
          <w:b w:val="0"/>
          <w:i w:val="0"/>
          <w:caps w:val="0"/>
          <w:color w:val="222222"/>
          <w:spacing w:val="0"/>
          <w:kern w:val="2"/>
          <w:sz w:val="32"/>
          <w:szCs w:val="32"/>
          <w:u w:val="none"/>
          <w:lang w:eastAsia="zh-Hans" w:bidi="ar-SA"/>
        </w:rPr>
        <w:t>252</w:t>
      </w:r>
      <w:r>
        <w:rPr>
          <w:rFonts w:hint="eastAsia" w:ascii="仿宋_GB2312" w:hAnsi="仿宋_GB2312" w:eastAsia="仿宋_GB2312" w:cs="仿宋_GB2312"/>
          <w:b w:val="0"/>
          <w:i w:val="0"/>
          <w:caps w:val="0"/>
          <w:color w:val="222222"/>
          <w:spacing w:val="0"/>
          <w:kern w:val="2"/>
          <w:sz w:val="32"/>
          <w:szCs w:val="32"/>
          <w:u w:val="none"/>
          <w:lang w:val="en-US" w:eastAsia="zh-Hans" w:bidi="ar-SA"/>
        </w:rPr>
        <w:t>人次；</w:t>
      </w:r>
      <w:r>
        <w:rPr>
          <w:rFonts w:hint="eastAsia" w:ascii="仿宋_GB2312" w:hAnsi="仿宋_GB2312" w:eastAsia="仿宋_GB2312" w:cs="仿宋_GB2312"/>
          <w:b w:val="0"/>
          <w:i w:val="0"/>
          <w:caps w:val="0"/>
          <w:color w:val="222222"/>
          <w:spacing w:val="0"/>
          <w:kern w:val="2"/>
          <w:sz w:val="32"/>
          <w:szCs w:val="32"/>
          <w:u w:val="none"/>
          <w:lang w:eastAsia="zh-Hans" w:bidi="ar-SA"/>
        </w:rPr>
        <w:t>2020</w:t>
      </w:r>
      <w:r>
        <w:rPr>
          <w:rFonts w:hint="eastAsia" w:ascii="仿宋_GB2312" w:hAnsi="仿宋_GB2312" w:eastAsia="仿宋_GB2312" w:cs="仿宋_GB2312"/>
          <w:b w:val="0"/>
          <w:i w:val="0"/>
          <w:caps w:val="0"/>
          <w:color w:val="222222"/>
          <w:spacing w:val="0"/>
          <w:kern w:val="2"/>
          <w:sz w:val="32"/>
          <w:szCs w:val="32"/>
          <w:u w:val="none"/>
          <w:lang w:val="en-US" w:eastAsia="zh-Hans" w:bidi="ar-SA"/>
        </w:rPr>
        <w:t>年</w:t>
      </w:r>
      <w:r>
        <w:rPr>
          <w:rFonts w:hint="eastAsia" w:ascii="仿宋_GB2312" w:hAnsi="仿宋_GB2312" w:eastAsia="仿宋_GB2312" w:cs="仿宋_GB2312"/>
          <w:b w:val="0"/>
          <w:i w:val="0"/>
          <w:caps w:val="0"/>
          <w:color w:val="222222"/>
          <w:spacing w:val="0"/>
          <w:kern w:val="2"/>
          <w:sz w:val="32"/>
          <w:szCs w:val="32"/>
          <w:u w:val="none"/>
          <w:lang w:eastAsia="zh-Hans" w:bidi="ar-SA"/>
        </w:rPr>
        <w:t>1</w:t>
      </w:r>
      <w:r>
        <w:rPr>
          <w:rFonts w:hint="eastAsia" w:ascii="仿宋_GB2312" w:hAnsi="仿宋_GB2312" w:eastAsia="仿宋_GB2312" w:cs="仿宋_GB2312"/>
          <w:b w:val="0"/>
          <w:i w:val="0"/>
          <w:caps w:val="0"/>
          <w:color w:val="222222"/>
          <w:spacing w:val="0"/>
          <w:kern w:val="2"/>
          <w:sz w:val="32"/>
          <w:szCs w:val="32"/>
          <w:u w:val="none"/>
          <w:lang w:val="en-US" w:eastAsia="zh-Hans" w:bidi="ar-SA"/>
        </w:rPr>
        <w:t>月</w:t>
      </w:r>
      <w:r>
        <w:rPr>
          <w:rFonts w:hint="eastAsia" w:ascii="仿宋_GB2312" w:hAnsi="仿宋_GB2312" w:eastAsia="仿宋_GB2312" w:cs="仿宋_GB2312"/>
          <w:b w:val="0"/>
          <w:i w:val="0"/>
          <w:caps w:val="0"/>
          <w:color w:val="222222"/>
          <w:spacing w:val="0"/>
          <w:kern w:val="2"/>
          <w:sz w:val="32"/>
          <w:szCs w:val="32"/>
          <w:u w:val="none"/>
          <w:lang w:eastAsia="zh-Hans" w:bidi="ar-SA"/>
        </w:rPr>
        <w:t>22</w:t>
      </w:r>
      <w:r>
        <w:rPr>
          <w:rFonts w:hint="eastAsia" w:ascii="仿宋_GB2312" w:hAnsi="仿宋_GB2312" w:eastAsia="仿宋_GB2312" w:cs="仿宋_GB2312"/>
          <w:b w:val="0"/>
          <w:i w:val="0"/>
          <w:caps w:val="0"/>
          <w:color w:val="222222"/>
          <w:spacing w:val="0"/>
          <w:kern w:val="2"/>
          <w:sz w:val="32"/>
          <w:szCs w:val="32"/>
          <w:u w:val="none"/>
          <w:lang w:val="en-US" w:eastAsia="zh-Hans" w:bidi="ar-SA"/>
        </w:rPr>
        <w:t>日至</w:t>
      </w:r>
      <w:r>
        <w:rPr>
          <w:rFonts w:hint="eastAsia" w:ascii="仿宋_GB2312" w:hAnsi="仿宋_GB2312" w:eastAsia="仿宋_GB2312" w:cs="仿宋_GB2312"/>
          <w:b w:val="0"/>
          <w:i w:val="0"/>
          <w:caps w:val="0"/>
          <w:color w:val="222222"/>
          <w:spacing w:val="0"/>
          <w:kern w:val="2"/>
          <w:sz w:val="32"/>
          <w:szCs w:val="32"/>
          <w:u w:val="none"/>
          <w:lang w:eastAsia="zh-Hans" w:bidi="ar-SA"/>
        </w:rPr>
        <w:t>5</w:t>
      </w:r>
      <w:r>
        <w:rPr>
          <w:rFonts w:hint="eastAsia" w:ascii="仿宋_GB2312" w:hAnsi="仿宋_GB2312" w:eastAsia="仿宋_GB2312" w:cs="仿宋_GB2312"/>
          <w:b w:val="0"/>
          <w:i w:val="0"/>
          <w:caps w:val="0"/>
          <w:color w:val="222222"/>
          <w:spacing w:val="0"/>
          <w:kern w:val="2"/>
          <w:sz w:val="32"/>
          <w:szCs w:val="32"/>
          <w:u w:val="none"/>
          <w:lang w:val="en-US" w:eastAsia="zh-Hans" w:bidi="ar-SA"/>
        </w:rPr>
        <w:t>月</w:t>
      </w:r>
      <w:r>
        <w:rPr>
          <w:rFonts w:hint="eastAsia" w:ascii="仿宋_GB2312" w:hAnsi="仿宋_GB2312" w:eastAsia="仿宋_GB2312" w:cs="仿宋_GB2312"/>
          <w:b w:val="0"/>
          <w:i w:val="0"/>
          <w:caps w:val="0"/>
          <w:color w:val="222222"/>
          <w:spacing w:val="0"/>
          <w:kern w:val="2"/>
          <w:sz w:val="32"/>
          <w:szCs w:val="32"/>
          <w:u w:val="none"/>
          <w:lang w:eastAsia="zh-Hans" w:bidi="ar-SA"/>
        </w:rPr>
        <w:t>29</w:t>
      </w:r>
      <w:r>
        <w:rPr>
          <w:rFonts w:hint="eastAsia" w:ascii="仿宋_GB2312" w:hAnsi="仿宋_GB2312" w:eastAsia="仿宋_GB2312" w:cs="仿宋_GB2312"/>
          <w:b w:val="0"/>
          <w:i w:val="0"/>
          <w:caps w:val="0"/>
          <w:color w:val="222222"/>
          <w:spacing w:val="0"/>
          <w:kern w:val="2"/>
          <w:sz w:val="32"/>
          <w:szCs w:val="32"/>
          <w:u w:val="none"/>
          <w:lang w:val="en-US" w:eastAsia="zh-Hans" w:bidi="ar-SA"/>
        </w:rPr>
        <w:t>日停演，</w:t>
      </w:r>
      <w:r>
        <w:rPr>
          <w:rFonts w:hint="eastAsia" w:ascii="仿宋_GB2312" w:hAnsi="仿宋_GB2312" w:eastAsia="仿宋_GB2312" w:cs="仿宋_GB2312"/>
          <w:b w:val="0"/>
          <w:i w:val="0"/>
          <w:caps w:val="0"/>
          <w:color w:val="222222"/>
          <w:spacing w:val="0"/>
          <w:kern w:val="2"/>
          <w:sz w:val="32"/>
          <w:szCs w:val="32"/>
          <w:u w:val="none"/>
          <w:lang w:eastAsia="zh-Hans" w:bidi="ar-SA"/>
        </w:rPr>
        <w:t>5</w:t>
      </w:r>
      <w:r>
        <w:rPr>
          <w:rFonts w:hint="eastAsia" w:ascii="仿宋_GB2312" w:hAnsi="仿宋_GB2312" w:eastAsia="仿宋_GB2312" w:cs="仿宋_GB2312"/>
          <w:b w:val="0"/>
          <w:i w:val="0"/>
          <w:caps w:val="0"/>
          <w:color w:val="222222"/>
          <w:spacing w:val="0"/>
          <w:kern w:val="2"/>
          <w:sz w:val="32"/>
          <w:szCs w:val="32"/>
          <w:u w:val="none"/>
          <w:lang w:val="en-US" w:eastAsia="zh-Hans" w:bidi="ar-SA"/>
        </w:rPr>
        <w:t>月</w:t>
      </w:r>
      <w:r>
        <w:rPr>
          <w:rFonts w:hint="eastAsia" w:ascii="仿宋_GB2312" w:hAnsi="仿宋_GB2312" w:eastAsia="仿宋_GB2312" w:cs="仿宋_GB2312"/>
          <w:b w:val="0"/>
          <w:i w:val="0"/>
          <w:caps w:val="0"/>
          <w:color w:val="222222"/>
          <w:spacing w:val="0"/>
          <w:kern w:val="2"/>
          <w:sz w:val="32"/>
          <w:szCs w:val="32"/>
          <w:u w:val="none"/>
          <w:lang w:eastAsia="zh-Hans" w:bidi="ar-SA"/>
        </w:rPr>
        <w:t>30</w:t>
      </w:r>
      <w:r>
        <w:rPr>
          <w:rFonts w:hint="eastAsia" w:ascii="仿宋_GB2312" w:hAnsi="仿宋_GB2312" w:eastAsia="仿宋_GB2312" w:cs="仿宋_GB2312"/>
          <w:b w:val="0"/>
          <w:i w:val="0"/>
          <w:caps w:val="0"/>
          <w:color w:val="222222"/>
          <w:spacing w:val="0"/>
          <w:kern w:val="2"/>
          <w:sz w:val="32"/>
          <w:szCs w:val="32"/>
          <w:u w:val="none"/>
          <w:lang w:val="en-US" w:eastAsia="zh-Hans" w:bidi="ar-SA"/>
        </w:rPr>
        <w:t>日恢复演出后，每天演出</w:t>
      </w:r>
      <w:r>
        <w:rPr>
          <w:rFonts w:hint="eastAsia" w:ascii="仿宋_GB2312" w:hAnsi="仿宋_GB2312" w:eastAsia="仿宋_GB2312" w:cs="仿宋_GB2312"/>
          <w:b w:val="0"/>
          <w:i w:val="0"/>
          <w:caps w:val="0"/>
          <w:color w:val="222222"/>
          <w:spacing w:val="0"/>
          <w:kern w:val="2"/>
          <w:sz w:val="32"/>
          <w:szCs w:val="32"/>
          <w:u w:val="none"/>
          <w:lang w:eastAsia="zh-Hans" w:bidi="ar-SA"/>
        </w:rPr>
        <w:t>2</w:t>
      </w:r>
      <w:r>
        <w:rPr>
          <w:rFonts w:hint="eastAsia" w:ascii="仿宋_GB2312" w:hAnsi="仿宋_GB2312" w:eastAsia="仿宋_GB2312" w:cs="仿宋_GB2312"/>
          <w:b w:val="0"/>
          <w:i w:val="0"/>
          <w:caps w:val="0"/>
          <w:color w:val="222222"/>
          <w:spacing w:val="0"/>
          <w:kern w:val="2"/>
          <w:sz w:val="32"/>
          <w:szCs w:val="32"/>
          <w:u w:val="none"/>
          <w:lang w:val="en-US" w:eastAsia="zh-Hans" w:bidi="ar-SA"/>
        </w:rPr>
        <w:t>场；</w:t>
      </w:r>
      <w:r>
        <w:rPr>
          <w:rFonts w:hint="eastAsia" w:ascii="仿宋_GB2312" w:hAnsi="仿宋_GB2312" w:eastAsia="仿宋_GB2312" w:cs="仿宋_GB2312"/>
          <w:b w:val="0"/>
          <w:i w:val="0"/>
          <w:caps w:val="0"/>
          <w:color w:val="222222"/>
          <w:spacing w:val="0"/>
          <w:kern w:val="2"/>
          <w:sz w:val="32"/>
          <w:szCs w:val="32"/>
          <w:u w:val="none"/>
          <w:lang w:eastAsia="zh-Hans" w:bidi="ar-SA"/>
        </w:rPr>
        <w:t>2020</w:t>
      </w:r>
      <w:r>
        <w:rPr>
          <w:rFonts w:hint="eastAsia" w:ascii="仿宋_GB2312" w:hAnsi="仿宋_GB2312" w:eastAsia="仿宋_GB2312" w:cs="仿宋_GB2312"/>
          <w:b w:val="0"/>
          <w:i w:val="0"/>
          <w:caps w:val="0"/>
          <w:color w:val="222222"/>
          <w:spacing w:val="0"/>
          <w:kern w:val="2"/>
          <w:sz w:val="32"/>
          <w:szCs w:val="32"/>
          <w:u w:val="none"/>
          <w:lang w:val="en-US" w:eastAsia="zh-Hans" w:bidi="ar-SA"/>
        </w:rPr>
        <w:t>年全年仅演出</w:t>
      </w:r>
      <w:r>
        <w:rPr>
          <w:rFonts w:hint="eastAsia" w:ascii="仿宋_GB2312" w:hAnsi="仿宋_GB2312" w:eastAsia="仿宋_GB2312" w:cs="仿宋_GB2312"/>
          <w:b w:val="0"/>
          <w:i w:val="0"/>
          <w:caps w:val="0"/>
          <w:color w:val="222222"/>
          <w:spacing w:val="0"/>
          <w:kern w:val="2"/>
          <w:sz w:val="32"/>
          <w:szCs w:val="32"/>
          <w:u w:val="none"/>
          <w:lang w:eastAsia="zh-Hans" w:bidi="ar-SA"/>
        </w:rPr>
        <w:t>430</w:t>
      </w:r>
      <w:r>
        <w:rPr>
          <w:rFonts w:hint="eastAsia" w:ascii="仿宋_GB2312" w:hAnsi="仿宋_GB2312" w:eastAsia="仿宋_GB2312" w:cs="仿宋_GB2312"/>
          <w:b w:val="0"/>
          <w:i w:val="0"/>
          <w:caps w:val="0"/>
          <w:color w:val="222222"/>
          <w:spacing w:val="0"/>
          <w:kern w:val="2"/>
          <w:sz w:val="32"/>
          <w:szCs w:val="32"/>
          <w:u w:val="none"/>
          <w:lang w:val="en-US" w:eastAsia="zh-Hans" w:bidi="ar-SA"/>
        </w:rPr>
        <w:t>场，接待游客</w:t>
      </w:r>
      <w:r>
        <w:rPr>
          <w:rFonts w:hint="eastAsia" w:ascii="仿宋_GB2312" w:hAnsi="仿宋_GB2312" w:eastAsia="仿宋_GB2312" w:cs="仿宋_GB2312"/>
          <w:color w:val="000000" w:themeColor="text1"/>
          <w:sz w:val="32"/>
          <w:szCs w:val="32"/>
          <w:vertAlign w:val="baseline"/>
          <w:lang w:eastAsia="zh-Hans"/>
          <w14:textFill>
            <w14:solidFill>
              <w14:schemeClr w14:val="tx1"/>
            </w14:solidFill>
          </w14:textFill>
        </w:rPr>
        <w:t>74459</w:t>
      </w:r>
      <w:r>
        <w:rPr>
          <w:rFonts w:hint="eastAsia" w:ascii="仿宋_GB2312" w:hAnsi="仿宋_GB2312" w:eastAsia="仿宋_GB2312" w:cs="仿宋_GB2312"/>
          <w:color w:val="000000" w:themeColor="text1"/>
          <w:sz w:val="32"/>
          <w:szCs w:val="32"/>
          <w:vertAlign w:val="baseline"/>
          <w:lang w:val="en-US" w:eastAsia="zh-Hans"/>
          <w14:textFill>
            <w14:solidFill>
              <w14:schemeClr w14:val="tx1"/>
            </w14:solidFill>
          </w14:textFill>
        </w:rPr>
        <w:t>人，平均每场游客</w:t>
      </w:r>
      <w:r>
        <w:rPr>
          <w:rFonts w:hint="eastAsia" w:ascii="仿宋_GB2312" w:hAnsi="仿宋_GB2312" w:eastAsia="仿宋_GB2312" w:cs="仿宋_GB2312"/>
          <w:color w:val="000000" w:themeColor="text1"/>
          <w:sz w:val="32"/>
          <w:szCs w:val="32"/>
          <w:vertAlign w:val="baseline"/>
          <w:lang w:eastAsia="zh-Hans"/>
          <w14:textFill>
            <w14:solidFill>
              <w14:schemeClr w14:val="tx1"/>
            </w14:solidFill>
          </w14:textFill>
        </w:rPr>
        <w:t>209</w:t>
      </w:r>
      <w:r>
        <w:rPr>
          <w:rFonts w:hint="eastAsia" w:ascii="仿宋_GB2312" w:hAnsi="仿宋_GB2312" w:eastAsia="仿宋_GB2312" w:cs="仿宋_GB2312"/>
          <w:color w:val="000000" w:themeColor="text1"/>
          <w:sz w:val="32"/>
          <w:szCs w:val="32"/>
          <w:vertAlign w:val="baseline"/>
          <w:lang w:val="en-US" w:eastAsia="zh-Hans"/>
          <w14:textFill>
            <w14:solidFill>
              <w14:schemeClr w14:val="tx1"/>
            </w14:solidFill>
          </w14:textFill>
        </w:rPr>
        <w:t>人；</w:t>
      </w:r>
      <w:r>
        <w:rPr>
          <w:rFonts w:hint="eastAsia" w:ascii="仿宋_GB2312" w:hAnsi="仿宋_GB2312" w:eastAsia="仿宋_GB2312" w:cs="仿宋_GB2312"/>
          <w:color w:val="000000" w:themeColor="text1"/>
          <w:sz w:val="32"/>
          <w:szCs w:val="32"/>
          <w:vertAlign w:val="baseline"/>
          <w:lang w:eastAsia="zh-Hans"/>
          <w14:textFill>
            <w14:solidFill>
              <w14:schemeClr w14:val="tx1"/>
            </w14:solidFill>
          </w14:textFill>
        </w:rPr>
        <w:t>2021</w:t>
      </w:r>
      <w:r>
        <w:rPr>
          <w:rFonts w:hint="eastAsia" w:ascii="仿宋_GB2312" w:hAnsi="仿宋_GB2312" w:eastAsia="仿宋_GB2312" w:cs="仿宋_GB2312"/>
          <w:color w:val="000000" w:themeColor="text1"/>
          <w:sz w:val="32"/>
          <w:szCs w:val="32"/>
          <w:vertAlign w:val="baseline"/>
          <w:lang w:val="en-US" w:eastAsia="zh-Hans"/>
          <w14:textFill>
            <w14:solidFill>
              <w14:schemeClr w14:val="tx1"/>
            </w14:solidFill>
          </w14:textFill>
        </w:rPr>
        <w:t>年全年演出</w:t>
      </w: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553</w:t>
      </w:r>
      <w:r>
        <w:rPr>
          <w:rFonts w:hint="eastAsia" w:ascii="仿宋_GB2312" w:hAnsi="仿宋_GB2312" w:eastAsia="仿宋_GB2312" w:cs="仿宋_GB2312"/>
          <w:color w:val="000000" w:themeColor="text1"/>
          <w:sz w:val="32"/>
          <w:szCs w:val="32"/>
          <w:vertAlign w:val="baseline"/>
          <w:lang w:val="en-US" w:eastAsia="zh-Hans"/>
          <w14:textFill>
            <w14:solidFill>
              <w14:schemeClr w14:val="tx1"/>
            </w14:solidFill>
          </w14:textFill>
        </w:rPr>
        <w:t>场，接待观众</w:t>
      </w: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100236</w:t>
      </w:r>
      <w:r>
        <w:rPr>
          <w:rFonts w:hint="eastAsia" w:ascii="仿宋_GB2312" w:hAnsi="仿宋_GB2312" w:eastAsia="仿宋_GB2312" w:cs="仿宋_GB2312"/>
          <w:color w:val="000000" w:themeColor="text1"/>
          <w:sz w:val="32"/>
          <w:szCs w:val="32"/>
          <w:vertAlign w:val="baseline"/>
          <w:lang w:val="en-US" w:eastAsia="zh-Hans"/>
          <w14:textFill>
            <w14:solidFill>
              <w14:schemeClr w14:val="tx1"/>
            </w14:solidFill>
          </w14:textFill>
        </w:rPr>
        <w:t>人次，平均每场接待观众仅</w:t>
      </w:r>
      <w:r>
        <w:rPr>
          <w:rFonts w:hint="eastAsia" w:ascii="仿宋_GB2312" w:hAnsi="仿宋_GB2312" w:eastAsia="仿宋_GB2312" w:cs="仿宋_GB2312"/>
          <w:color w:val="000000" w:themeColor="text1"/>
          <w:sz w:val="32"/>
          <w:szCs w:val="32"/>
          <w:vertAlign w:val="baseline"/>
          <w:lang w:eastAsia="zh-Hans"/>
          <w14:textFill>
            <w14:solidFill>
              <w14:schemeClr w14:val="tx1"/>
            </w14:solidFill>
          </w14:textFill>
        </w:rPr>
        <w:t>181</w:t>
      </w:r>
      <w:r>
        <w:rPr>
          <w:rFonts w:hint="eastAsia" w:ascii="仿宋_GB2312" w:hAnsi="仿宋_GB2312" w:eastAsia="仿宋_GB2312" w:cs="仿宋_GB2312"/>
          <w:color w:val="000000" w:themeColor="text1"/>
          <w:sz w:val="32"/>
          <w:szCs w:val="32"/>
          <w:vertAlign w:val="baseline"/>
          <w:lang w:val="en-US" w:eastAsia="zh-Hans"/>
          <w14:textFill>
            <w14:solidFill>
              <w14:schemeClr w14:val="tx1"/>
            </w14:solidFill>
          </w14:textFill>
        </w:rPr>
        <w:t>人。受疫情影响，</w:t>
      </w:r>
      <w:r>
        <w:rPr>
          <w:rFonts w:hint="eastAsia" w:ascii="仿宋_GB2312" w:hAnsi="仿宋_GB2312" w:eastAsia="仿宋_GB2312" w:cs="仿宋_GB2312"/>
          <w:color w:val="000000" w:themeColor="text1"/>
          <w:sz w:val="32"/>
          <w:szCs w:val="32"/>
          <w:vertAlign w:val="baseline"/>
          <w:lang w:eastAsia="zh-Hans"/>
          <w14:textFill>
            <w14:solidFill>
              <w14:schemeClr w14:val="tx1"/>
            </w14:solidFill>
          </w14:textFill>
        </w:rPr>
        <w:t>2021</w:t>
      </w:r>
      <w:r>
        <w:rPr>
          <w:rFonts w:hint="eastAsia" w:ascii="仿宋_GB2312" w:hAnsi="仿宋_GB2312" w:eastAsia="仿宋_GB2312" w:cs="仿宋_GB2312"/>
          <w:color w:val="000000" w:themeColor="text1"/>
          <w:sz w:val="32"/>
          <w:szCs w:val="32"/>
          <w:vertAlign w:val="baseline"/>
          <w:lang w:val="en-US" w:eastAsia="zh-Hans"/>
          <w14:textFill>
            <w14:solidFill>
              <w14:schemeClr w14:val="tx1"/>
            </w14:solidFill>
          </w14:textFill>
        </w:rPr>
        <w:t>年平均每场接待游客数量较疫情前</w:t>
      </w:r>
      <w:r>
        <w:rPr>
          <w:rFonts w:hint="eastAsia" w:ascii="仿宋_GB2312" w:hAnsi="仿宋_GB2312" w:eastAsia="仿宋_GB2312" w:cs="仿宋_GB2312"/>
          <w:color w:val="000000" w:themeColor="text1"/>
          <w:sz w:val="32"/>
          <w:szCs w:val="32"/>
          <w:vertAlign w:val="baseline"/>
          <w:lang w:eastAsia="zh-Hans"/>
          <w14:textFill>
            <w14:solidFill>
              <w14:schemeClr w14:val="tx1"/>
            </w14:solidFill>
          </w14:textFill>
        </w:rPr>
        <w:t>2019</w:t>
      </w:r>
      <w:r>
        <w:rPr>
          <w:rFonts w:hint="eastAsia" w:ascii="仿宋_GB2312" w:hAnsi="仿宋_GB2312" w:eastAsia="仿宋_GB2312" w:cs="仿宋_GB2312"/>
          <w:color w:val="000000" w:themeColor="text1"/>
          <w:sz w:val="32"/>
          <w:szCs w:val="32"/>
          <w:vertAlign w:val="baseline"/>
          <w:lang w:val="en-US" w:eastAsia="zh-Hans"/>
          <w14:textFill>
            <w14:solidFill>
              <w14:schemeClr w14:val="tx1"/>
            </w14:solidFill>
          </w14:textFill>
        </w:rPr>
        <w:t>年下降</w:t>
      </w:r>
      <w:r>
        <w:rPr>
          <w:rFonts w:hint="eastAsia" w:ascii="仿宋_GB2312" w:hAnsi="仿宋_GB2312" w:eastAsia="仿宋_GB2312" w:cs="仿宋_GB2312"/>
          <w:color w:val="000000" w:themeColor="text1"/>
          <w:sz w:val="32"/>
          <w:szCs w:val="32"/>
          <w:vertAlign w:val="baseline"/>
          <w:lang w:eastAsia="zh-Hans"/>
          <w14:textFill>
            <w14:solidFill>
              <w14:schemeClr w14:val="tx1"/>
            </w14:solidFill>
          </w14:textFill>
        </w:rPr>
        <w:t>28%。</w:t>
      </w:r>
    </w:p>
    <w:p>
      <w:pPr>
        <w:jc w:val="center"/>
      </w:pPr>
      <w:r>
        <w:drawing>
          <wp:inline distT="0" distB="0" distL="114300" distR="114300">
            <wp:extent cx="4572000" cy="2743200"/>
            <wp:effectExtent l="4445" t="4445" r="14605" b="14605"/>
            <wp:docPr id="5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7"/>
      </w:pPr>
    </w:p>
    <w:p>
      <w:pPr>
        <w:jc w:val="center"/>
        <w:rPr>
          <w:rFonts w:hint="eastAsia"/>
          <w:lang w:val="en-US" w:eastAsia="zh-CN"/>
        </w:rPr>
      </w:pPr>
      <w:r>
        <w:rPr>
          <w:rStyle w:val="19"/>
          <w:rFonts w:hint="eastAsia" w:ascii="宋体" w:hAnsi="宋体" w:eastAsia="宋体" w:cs="宋体"/>
          <w:sz w:val="20"/>
          <w:szCs w:val="20"/>
        </w:rPr>
        <w:t>图表7-12  《只有峨眉山》疫情前后平均每场接待游客人次对比</w:t>
      </w:r>
    </w:p>
    <w:p>
      <w:pPr>
        <w:rPr>
          <w:rFonts w:hint="eastAsia"/>
          <w:lang w:val="en-US" w:eastAsia="zh-CN"/>
        </w:rPr>
      </w:pPr>
    </w:p>
    <w:p>
      <w:pPr>
        <w:numPr>
          <w:ilvl w:val="0"/>
          <w:numId w:val="0"/>
        </w:numPr>
        <w:ind w:firstLine="640" w:firstLineChars="20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三、四川省旅游演艺案例</w:t>
      </w:r>
    </w:p>
    <w:p>
      <w:pPr>
        <w:numPr>
          <w:ilvl w:val="0"/>
          <w:numId w:val="0"/>
        </w:numPr>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（一）旅游演艺分类</w:t>
      </w:r>
    </w:p>
    <w:p>
      <w:pPr>
        <w:ind w:firstLine="640" w:firstLineChars="200"/>
        <w:jc w:val="both"/>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t>目前四川省主要旅游演艺项目可以按照主题公园类、“戏剧幻城”实景演艺</w:t>
      </w:r>
      <w:r>
        <w:rPr>
          <w:rFonts w:hint="eastAsia" w:ascii="仿宋_GB2312" w:hAnsi="仿宋_GB2312" w:eastAsia="仿宋_GB2312" w:cs="仿宋_GB2312"/>
          <w:color w:val="000000" w:themeColor="text1"/>
          <w:kern w:val="2"/>
          <w:sz w:val="32"/>
          <w:szCs w:val="32"/>
          <w:vertAlign w:val="baseline"/>
          <w:lang w:val="en-US" w:eastAsia="zh-Hans" w:bidi="ar-SA"/>
          <w14:textFill>
            <w14:solidFill>
              <w14:schemeClr w14:val="tx1"/>
            </w14:solidFill>
          </w14:textFill>
        </w:rPr>
        <w:t>类</w:t>
      </w:r>
      <w:r>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t>、实景类、剧场类分为四类。</w:t>
      </w:r>
    </w:p>
    <w:p>
      <w:pPr>
        <w:ind w:firstLine="640" w:firstLineChars="200"/>
        <w:jc w:val="both"/>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t>1.主题公园类：以主题公园为依托，借助多样化表演形式。</w:t>
      </w:r>
    </w:p>
    <w:p>
      <w:pPr>
        <w:ind w:firstLine="640" w:firstLineChars="200"/>
        <w:jc w:val="both"/>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t>2.“剧幻城”实景演艺类：打破“剧场演出”和“实景演出”的边界，使不同种类的剧场之间互相交融，采取行进式观赏的旅游演艺项目。</w:t>
      </w:r>
    </w:p>
    <w:p>
      <w:pPr>
        <w:ind w:firstLine="640" w:firstLineChars="200"/>
        <w:jc w:val="both"/>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t>3.实景类：以当地自然风光与自然景观，建筑等为依托，立足当地历史文化故事，借助声光电等现代科技手段进行设计开发的旅游演艺项目。</w:t>
      </w:r>
    </w:p>
    <w:p>
      <w:pPr>
        <w:ind w:firstLine="640" w:firstLineChars="200"/>
        <w:jc w:val="both"/>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t>4.剧场类：以剧场等演出场馆为依托，借助独有的舞台设计、灯光布景、音效设置等来进行展现的旅游演艺项目。</w:t>
      </w:r>
    </w:p>
    <w:p>
      <w:pPr>
        <w:jc w:val="center"/>
        <w:rPr>
          <w:rFonts w:hint="eastAsia" w:ascii="宋体" w:hAnsi="宋体" w:eastAsia="宋体" w:cs="宋体"/>
          <w:b/>
          <w:bCs/>
          <w:color w:val="auto"/>
          <w:sz w:val="20"/>
          <w:szCs w:val="20"/>
          <w:lang w:val="en-US" w:eastAsia="zh-Hans"/>
        </w:rPr>
      </w:pPr>
      <w:r>
        <w:rPr>
          <w:rFonts w:hint="eastAsia" w:ascii="宋体" w:hAnsi="宋体" w:cs="宋体"/>
          <w:b/>
          <w:bCs/>
          <w:color w:val="auto"/>
          <w:sz w:val="20"/>
          <w:szCs w:val="20"/>
          <w:lang w:val="en-US" w:eastAsia="zh-CN"/>
        </w:rPr>
        <w:t xml:space="preserve">图表7-13  </w:t>
      </w:r>
      <w:r>
        <w:rPr>
          <w:rFonts w:hint="eastAsia" w:ascii="宋体" w:hAnsi="宋体" w:eastAsia="宋体" w:cs="宋体"/>
          <w:b/>
          <w:bCs/>
          <w:color w:val="auto"/>
          <w:sz w:val="20"/>
          <w:szCs w:val="20"/>
          <w:lang w:val="en-US" w:eastAsia="zh-Hans"/>
        </w:rPr>
        <w:t>全省主要旅游演艺项目分类表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2"/>
        <w:gridCol w:w="2254"/>
        <w:gridCol w:w="3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622" w:type="dxa"/>
            <w:vMerge w:val="restart"/>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分</w:t>
            </w:r>
            <w:r>
              <w:rPr>
                <w:rFonts w:hint="eastAsia" w:ascii="宋体" w:hAnsi="宋体" w:eastAsia="宋体" w:cs="宋体"/>
                <w:color w:val="auto"/>
                <w:sz w:val="20"/>
                <w:szCs w:val="20"/>
                <w:vertAlign w:val="baseline"/>
                <w:lang w:eastAsia="zh-Hans"/>
              </w:rPr>
              <w:t xml:space="preserve">  </w:t>
            </w:r>
            <w:r>
              <w:rPr>
                <w:rFonts w:hint="eastAsia" w:ascii="宋体" w:hAnsi="宋体" w:eastAsia="宋体" w:cs="宋体"/>
                <w:color w:val="auto"/>
                <w:sz w:val="20"/>
                <w:szCs w:val="20"/>
                <w:vertAlign w:val="baseline"/>
                <w:lang w:val="en-US" w:eastAsia="zh-Hans"/>
              </w:rPr>
              <w:t>类</w:t>
            </w:r>
          </w:p>
        </w:tc>
        <w:tc>
          <w:tcPr>
            <w:tcW w:w="2254" w:type="dxa"/>
            <w:vMerge w:val="restart"/>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项目名称</w:t>
            </w:r>
          </w:p>
        </w:tc>
        <w:tc>
          <w:tcPr>
            <w:tcW w:w="3385" w:type="dxa"/>
            <w:vMerge w:val="restart"/>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主要特点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2622" w:type="dxa"/>
            <w:vMerge w:val="continue"/>
            <w:vAlign w:val="center"/>
          </w:tcPr>
          <w:p>
            <w:pPr>
              <w:jc w:val="center"/>
              <w:rPr>
                <w:rFonts w:hint="eastAsia" w:ascii="宋体" w:hAnsi="宋体" w:eastAsia="宋体" w:cs="宋体"/>
                <w:color w:val="auto"/>
                <w:sz w:val="20"/>
                <w:szCs w:val="20"/>
                <w:vertAlign w:val="baseline"/>
                <w:lang w:val="en-US" w:eastAsia="zh-Hans"/>
              </w:rPr>
            </w:pPr>
          </w:p>
        </w:tc>
        <w:tc>
          <w:tcPr>
            <w:tcW w:w="2254" w:type="dxa"/>
            <w:vMerge w:val="continue"/>
            <w:vAlign w:val="center"/>
          </w:tcPr>
          <w:p>
            <w:pPr>
              <w:jc w:val="center"/>
              <w:rPr>
                <w:rFonts w:hint="eastAsia" w:ascii="宋体" w:hAnsi="宋体" w:eastAsia="宋体" w:cs="宋体"/>
                <w:color w:val="auto"/>
                <w:sz w:val="20"/>
                <w:szCs w:val="20"/>
                <w:vertAlign w:val="baseline"/>
                <w:lang w:val="en-US" w:eastAsia="zh-Hans"/>
              </w:rPr>
            </w:pPr>
          </w:p>
        </w:tc>
        <w:tc>
          <w:tcPr>
            <w:tcW w:w="3385" w:type="dxa"/>
            <w:vMerge w:val="continue"/>
            <w:vAlign w:val="center"/>
          </w:tcPr>
          <w:p>
            <w:pPr>
              <w:jc w:val="center"/>
              <w:rPr>
                <w:rFonts w:hint="eastAsia" w:ascii="宋体" w:hAnsi="宋体" w:eastAsia="宋体" w:cs="宋体"/>
                <w:color w:val="auto"/>
                <w:sz w:val="20"/>
                <w:szCs w:val="20"/>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2622"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主题公园类</w:t>
            </w:r>
          </w:p>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w:t>
            </w:r>
            <w:r>
              <w:rPr>
                <w:rFonts w:hint="eastAsia" w:ascii="宋体" w:hAnsi="宋体" w:eastAsia="宋体" w:cs="宋体"/>
                <w:color w:val="auto"/>
                <w:kern w:val="2"/>
                <w:sz w:val="20"/>
                <w:szCs w:val="20"/>
                <w:vertAlign w:val="baseline"/>
                <w:lang w:eastAsia="zh-Hans" w:bidi="ar-SA"/>
              </w:rPr>
              <w:t>1</w:t>
            </w:r>
            <w:r>
              <w:rPr>
                <w:rFonts w:hint="eastAsia" w:ascii="宋体" w:hAnsi="宋体" w:eastAsia="宋体" w:cs="宋体"/>
                <w:color w:val="auto"/>
                <w:kern w:val="2"/>
                <w:sz w:val="20"/>
                <w:szCs w:val="20"/>
                <w:vertAlign w:val="baseline"/>
                <w:lang w:val="en-US" w:eastAsia="zh-Hans" w:bidi="ar-SA"/>
              </w:rPr>
              <w:t>）</w:t>
            </w:r>
          </w:p>
        </w:tc>
        <w:tc>
          <w:tcPr>
            <w:tcW w:w="2254"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九寨千古情</w:t>
            </w:r>
          </w:p>
        </w:tc>
        <w:tc>
          <w:tcPr>
            <w:tcW w:w="3385"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大型歌舞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2622"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戏剧幻城”实景演艺</w:t>
            </w:r>
            <w:r>
              <w:rPr>
                <w:rFonts w:hint="eastAsia" w:ascii="宋体" w:hAnsi="宋体" w:eastAsia="宋体" w:cs="宋体"/>
                <w:color w:val="auto"/>
                <w:kern w:val="2"/>
                <w:sz w:val="20"/>
                <w:szCs w:val="20"/>
                <w:vertAlign w:val="baseline"/>
                <w:lang w:val="en-US" w:eastAsia="zh-Hans" w:bidi="ar-SA"/>
              </w:rPr>
              <w:t>类</w:t>
            </w:r>
          </w:p>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w:t>
            </w:r>
            <w:r>
              <w:rPr>
                <w:rFonts w:hint="eastAsia" w:ascii="宋体" w:hAnsi="宋体" w:eastAsia="宋体" w:cs="宋体"/>
                <w:color w:val="auto"/>
                <w:kern w:val="2"/>
                <w:sz w:val="20"/>
                <w:szCs w:val="20"/>
                <w:vertAlign w:val="baseline"/>
                <w:lang w:eastAsia="zh-Hans" w:bidi="ar-SA"/>
              </w:rPr>
              <w:t>1</w:t>
            </w:r>
            <w:r>
              <w:rPr>
                <w:rFonts w:hint="eastAsia" w:ascii="宋体" w:hAnsi="宋体" w:eastAsia="宋体" w:cs="宋体"/>
                <w:color w:val="auto"/>
                <w:kern w:val="2"/>
                <w:sz w:val="20"/>
                <w:szCs w:val="20"/>
                <w:vertAlign w:val="baseline"/>
                <w:lang w:val="en-US" w:eastAsia="zh-Hans" w:bidi="ar-SA"/>
              </w:rPr>
              <w:t>）</w:t>
            </w:r>
          </w:p>
        </w:tc>
        <w:tc>
          <w:tcPr>
            <w:tcW w:w="2254"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只有峨眉山</w:t>
            </w:r>
          </w:p>
        </w:tc>
        <w:tc>
          <w:tcPr>
            <w:tcW w:w="3385"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戏剧幻城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trPr>
        <w:tc>
          <w:tcPr>
            <w:tcW w:w="2622" w:type="dxa"/>
            <w:vMerge w:val="restart"/>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实景类</w:t>
            </w:r>
          </w:p>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w:t>
            </w:r>
            <w:r>
              <w:rPr>
                <w:rFonts w:hint="eastAsia" w:ascii="宋体" w:hAnsi="宋体" w:eastAsia="宋体" w:cs="宋体"/>
                <w:color w:val="auto"/>
                <w:kern w:val="2"/>
                <w:sz w:val="20"/>
                <w:szCs w:val="20"/>
                <w:vertAlign w:val="baseline"/>
                <w:lang w:eastAsia="zh-Hans" w:bidi="ar-SA"/>
              </w:rPr>
              <w:t>15</w:t>
            </w:r>
            <w:r>
              <w:rPr>
                <w:rFonts w:hint="eastAsia" w:ascii="宋体" w:hAnsi="宋体" w:eastAsia="宋体" w:cs="宋体"/>
                <w:color w:val="auto"/>
                <w:kern w:val="2"/>
                <w:sz w:val="20"/>
                <w:szCs w:val="20"/>
                <w:vertAlign w:val="baseline"/>
                <w:lang w:val="en-US" w:eastAsia="zh-Hans" w:bidi="ar-SA"/>
              </w:rPr>
              <w:t>）</w:t>
            </w:r>
          </w:p>
          <w:p>
            <w:pPr>
              <w:ind w:firstLine="100" w:firstLineChars="50"/>
              <w:jc w:val="left"/>
              <w:rPr>
                <w:rFonts w:hint="eastAsia" w:ascii="宋体" w:hAnsi="宋体" w:eastAsia="宋体" w:cs="宋体"/>
                <w:color w:val="auto"/>
                <w:kern w:val="2"/>
                <w:sz w:val="20"/>
                <w:szCs w:val="20"/>
                <w:vertAlign w:val="baseline"/>
                <w:lang w:val="en-US" w:eastAsia="zh-Hans" w:bidi="ar-SA"/>
              </w:rPr>
            </w:pPr>
          </w:p>
        </w:tc>
        <w:tc>
          <w:tcPr>
            <w:tcW w:w="2254" w:type="dxa"/>
            <w:tcBorders>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乌蒙沐歌</w:t>
            </w:r>
          </w:p>
        </w:tc>
        <w:tc>
          <w:tcPr>
            <w:tcW w:w="3385" w:type="dxa"/>
            <w:tcBorders>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大型原生态山水实景剧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梦境光雾山</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kern w:val="2"/>
                <w:sz w:val="20"/>
                <w:szCs w:val="20"/>
                <w:vertAlign w:val="baseline"/>
                <w:lang w:val="en-US" w:eastAsia="zh-CN" w:bidi="ar-SA"/>
              </w:rPr>
              <w:t>大型行浸式山水夜游</w:t>
            </w:r>
            <w:r>
              <w:rPr>
                <w:rFonts w:hint="eastAsia" w:ascii="宋体" w:hAnsi="宋体" w:eastAsia="宋体" w:cs="宋体"/>
                <w:color w:val="auto"/>
                <w:kern w:val="2"/>
                <w:sz w:val="20"/>
                <w:szCs w:val="20"/>
                <w:vertAlign w:val="baseline"/>
                <w:lang w:val="en-US" w:eastAsia="zh-Hans" w:bidi="ar-SA"/>
              </w:rPr>
              <w:t>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CN"/>
              </w:rPr>
              <w:t>瓮城传奇</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kern w:val="2"/>
                <w:sz w:val="20"/>
                <w:szCs w:val="20"/>
                <w:vertAlign w:val="baseline"/>
                <w:lang w:val="en-US" w:eastAsia="zh-CN" w:bidi="ar-SA"/>
              </w:rPr>
              <w:t>大型沉浸式实景剧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道解都江堰</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大型山水实景</w:t>
            </w:r>
            <w:r>
              <w:rPr>
                <w:rFonts w:hint="eastAsia" w:ascii="宋体" w:hAnsi="宋体" w:eastAsia="宋体" w:cs="宋体"/>
                <w:color w:val="auto"/>
                <w:kern w:val="2"/>
                <w:sz w:val="20"/>
                <w:szCs w:val="20"/>
                <w:vertAlign w:val="baseline"/>
                <w:lang w:val="en-US" w:eastAsia="zh-Hans" w:bidi="ar-SA"/>
              </w:rPr>
              <w:t>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阆苑仙境</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kern w:val="2"/>
                <w:sz w:val="20"/>
                <w:szCs w:val="20"/>
                <w:vertAlign w:val="baseline"/>
                <w:lang w:val="en-US" w:eastAsia="zh-CN" w:bidi="ar-SA"/>
              </w:rPr>
              <w:t>大型移动实景</w:t>
            </w:r>
            <w:r>
              <w:rPr>
                <w:rFonts w:hint="eastAsia" w:ascii="宋体" w:hAnsi="宋体" w:eastAsia="宋体" w:cs="宋体"/>
                <w:color w:val="auto"/>
                <w:kern w:val="2"/>
                <w:sz w:val="20"/>
                <w:szCs w:val="20"/>
                <w:vertAlign w:val="baseline"/>
                <w:lang w:val="en-US" w:eastAsia="zh-Hans" w:bidi="ar-SA"/>
              </w:rPr>
              <w:t>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葭萌春秋</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kern w:val="2"/>
                <w:sz w:val="20"/>
                <w:szCs w:val="20"/>
                <w:vertAlign w:val="baseline"/>
                <w:lang w:val="en-US" w:eastAsia="zh-Hans" w:bidi="ar-SA"/>
              </w:rPr>
              <w:t>大型</w:t>
            </w:r>
            <w:r>
              <w:rPr>
                <w:rFonts w:hint="eastAsia" w:ascii="宋体" w:hAnsi="宋体" w:eastAsia="宋体" w:cs="宋体"/>
                <w:color w:val="auto"/>
                <w:kern w:val="2"/>
                <w:sz w:val="20"/>
                <w:szCs w:val="20"/>
                <w:vertAlign w:val="baseline"/>
                <w:lang w:val="en-US" w:eastAsia="zh-CN" w:bidi="ar-SA"/>
              </w:rPr>
              <w:t>沉浸式互动体验剧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阿惹妞</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大型</w:t>
            </w:r>
            <w:r>
              <w:rPr>
                <w:rFonts w:hint="eastAsia" w:ascii="宋体" w:hAnsi="宋体" w:eastAsia="宋体" w:cs="宋体"/>
                <w:color w:val="auto"/>
                <w:kern w:val="2"/>
                <w:sz w:val="20"/>
                <w:szCs w:val="20"/>
                <w:vertAlign w:val="baseline"/>
                <w:lang w:val="en-US" w:eastAsia="zh-CN" w:bidi="ar-SA"/>
              </w:rPr>
              <w:t>彝文化风情实景</w:t>
            </w:r>
            <w:r>
              <w:rPr>
                <w:rFonts w:hint="eastAsia" w:ascii="宋体" w:hAnsi="宋体" w:eastAsia="宋体" w:cs="宋体"/>
                <w:color w:val="auto"/>
                <w:kern w:val="2"/>
                <w:sz w:val="20"/>
                <w:szCs w:val="20"/>
                <w:vertAlign w:val="baseline"/>
                <w:lang w:val="en-US" w:eastAsia="zh-Hans" w:bidi="ar-SA"/>
              </w:rPr>
              <w:t>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今日今时安仁</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大型公馆实境体验剧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川·乐安仁</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kern w:val="2"/>
                <w:sz w:val="20"/>
                <w:szCs w:val="20"/>
                <w:vertAlign w:val="baseline"/>
                <w:lang w:val="en-US" w:eastAsia="zh-Hans" w:bidi="ar-SA"/>
              </w:rPr>
              <w:t>大型</w:t>
            </w:r>
            <w:r>
              <w:rPr>
                <w:rFonts w:hint="eastAsia" w:ascii="宋体" w:hAnsi="宋体" w:eastAsia="宋体" w:cs="宋体"/>
                <w:color w:val="auto"/>
                <w:kern w:val="2"/>
                <w:sz w:val="20"/>
                <w:szCs w:val="20"/>
                <w:vertAlign w:val="baseline"/>
                <w:lang w:val="en-US" w:eastAsia="zh-CN" w:bidi="ar-SA"/>
              </w:rPr>
              <w:t>沉浸式公馆实景</w:t>
            </w:r>
            <w:r>
              <w:rPr>
                <w:rFonts w:hint="eastAsia" w:ascii="宋体" w:hAnsi="宋体" w:eastAsia="宋体" w:cs="宋体"/>
                <w:color w:val="auto"/>
                <w:kern w:val="2"/>
                <w:sz w:val="20"/>
                <w:szCs w:val="20"/>
                <w:vertAlign w:val="baseline"/>
                <w:lang w:val="en-US" w:eastAsia="zh-Hans" w:bidi="ar-SA"/>
              </w:rPr>
              <w:t>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飞夺泸定桥</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w:t>
            </w:r>
            <w:r>
              <w:rPr>
                <w:rFonts w:hint="eastAsia" w:ascii="宋体" w:hAnsi="宋体" w:eastAsia="宋体" w:cs="宋体"/>
                <w:color w:val="auto"/>
                <w:kern w:val="2"/>
                <w:sz w:val="20"/>
                <w:szCs w:val="20"/>
                <w:vertAlign w:val="baseline"/>
                <w:lang w:val="en-US" w:eastAsia="zh-Hans" w:bidi="ar-SA"/>
              </w:rPr>
              <w:t>红色</w:t>
            </w:r>
            <w:r>
              <w:rPr>
                <w:rFonts w:hint="eastAsia" w:ascii="宋体" w:hAnsi="宋体" w:eastAsia="宋体" w:cs="宋体"/>
                <w:color w:val="auto"/>
                <w:kern w:val="2"/>
                <w:sz w:val="20"/>
                <w:szCs w:val="20"/>
                <w:vertAlign w:val="baseline"/>
                <w:lang w:val="en-US" w:eastAsia="zh-CN" w:bidi="ar-SA"/>
              </w:rPr>
              <w:t>实景剧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安顺记忆</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大型红色主题</w:t>
            </w:r>
            <w:r>
              <w:rPr>
                <w:rFonts w:hint="eastAsia" w:ascii="宋体" w:hAnsi="宋体" w:eastAsia="宋体" w:cs="宋体"/>
                <w:color w:val="auto"/>
                <w:kern w:val="2"/>
                <w:sz w:val="20"/>
                <w:szCs w:val="20"/>
                <w:vertAlign w:val="baseline"/>
                <w:lang w:val="en-US" w:eastAsia="zh-Hans" w:bidi="ar-SA"/>
              </w:rPr>
              <w:t>沉浸式</w:t>
            </w:r>
            <w:r>
              <w:rPr>
                <w:rFonts w:hint="eastAsia" w:ascii="宋体" w:hAnsi="宋体" w:eastAsia="宋体" w:cs="宋体"/>
                <w:color w:val="auto"/>
                <w:kern w:val="2"/>
                <w:sz w:val="20"/>
                <w:szCs w:val="20"/>
                <w:vertAlign w:val="baseline"/>
                <w:lang w:val="en-US" w:eastAsia="zh-CN" w:bidi="ar-SA"/>
              </w:rPr>
              <w:t>实景史诗剧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恩阳船说</w:t>
            </w:r>
          </w:p>
        </w:tc>
        <w:tc>
          <w:tcPr>
            <w:tcW w:w="3385" w:type="dxa"/>
            <w:tcBorders>
              <w:top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kern w:val="2"/>
                <w:sz w:val="20"/>
                <w:szCs w:val="20"/>
                <w:vertAlign w:val="baseline"/>
                <w:lang w:val="en-US" w:eastAsia="zh-CN" w:bidi="ar-SA"/>
              </w:rPr>
              <w:t>大型沉浸式实景剧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CN"/>
              </w:rPr>
              <w:t>西羌传奇</w:t>
            </w:r>
          </w:p>
        </w:tc>
        <w:tc>
          <w:tcPr>
            <w:tcW w:w="3385" w:type="dxa"/>
            <w:tcBorders>
              <w:top w:val="single" w:color="auto" w:sz="4" w:space="0"/>
            </w:tcBorders>
            <w:vAlign w:val="center"/>
          </w:tcPr>
          <w:p>
            <w:pPr>
              <w:jc w:val="center"/>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kern w:val="2"/>
                <w:sz w:val="20"/>
                <w:szCs w:val="20"/>
                <w:vertAlign w:val="baseline"/>
                <w:lang w:val="en-US" w:eastAsia="zh-CN" w:bidi="ar-SA"/>
              </w:rPr>
              <w:t>大型实景体验剧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走北川</w:t>
            </w:r>
          </w:p>
        </w:tc>
        <w:tc>
          <w:tcPr>
            <w:tcW w:w="3385" w:type="dxa"/>
            <w:tcBorders>
              <w:top w:val="nil"/>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大型实景体验剧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丝路神灯</w:t>
            </w:r>
          </w:p>
        </w:tc>
        <w:tc>
          <w:tcPr>
            <w:tcW w:w="3385" w:type="dxa"/>
            <w:tcBorders>
              <w:top w:val="nil"/>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kern w:val="2"/>
                <w:sz w:val="20"/>
                <w:szCs w:val="20"/>
                <w:vertAlign w:val="baseline"/>
                <w:lang w:val="en-US" w:eastAsia="zh-CN" w:bidi="ar-SA"/>
              </w:rPr>
              <w:t>大型山水实景</w:t>
            </w:r>
            <w:r>
              <w:rPr>
                <w:rFonts w:hint="eastAsia" w:ascii="宋体" w:hAnsi="宋体" w:eastAsia="宋体" w:cs="宋体"/>
                <w:color w:val="auto"/>
                <w:kern w:val="2"/>
                <w:sz w:val="20"/>
                <w:szCs w:val="20"/>
                <w:vertAlign w:val="baseline"/>
                <w:lang w:val="en-US" w:eastAsia="zh-Hans" w:bidi="ar-SA"/>
              </w:rPr>
              <w:t>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2622" w:type="dxa"/>
            <w:vMerge w:val="restart"/>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剧场类</w:t>
            </w:r>
          </w:p>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w:t>
            </w:r>
            <w:r>
              <w:rPr>
                <w:rFonts w:hint="eastAsia" w:ascii="宋体" w:hAnsi="宋体" w:eastAsia="宋体" w:cs="宋体"/>
                <w:color w:val="auto"/>
                <w:kern w:val="2"/>
                <w:sz w:val="20"/>
                <w:szCs w:val="20"/>
                <w:vertAlign w:val="baseline"/>
                <w:lang w:eastAsia="zh-Hans" w:bidi="ar-SA"/>
              </w:rPr>
              <w:t>16</w:t>
            </w:r>
            <w:r>
              <w:rPr>
                <w:rFonts w:hint="eastAsia" w:ascii="宋体" w:hAnsi="宋体" w:eastAsia="宋体" w:cs="宋体"/>
                <w:color w:val="auto"/>
                <w:kern w:val="2"/>
                <w:sz w:val="20"/>
                <w:szCs w:val="20"/>
                <w:vertAlign w:val="baseline"/>
                <w:lang w:val="en-US" w:eastAsia="zh-Hans" w:bidi="ar-SA"/>
              </w:rPr>
              <w:t>个）</w:t>
            </w:r>
          </w:p>
          <w:p>
            <w:pPr>
              <w:jc w:val="center"/>
              <w:rPr>
                <w:rFonts w:hint="eastAsia" w:ascii="宋体" w:hAnsi="宋体" w:eastAsia="宋体" w:cs="宋体"/>
                <w:color w:val="auto"/>
                <w:kern w:val="2"/>
                <w:sz w:val="20"/>
                <w:szCs w:val="20"/>
                <w:vertAlign w:val="baseline"/>
                <w:lang w:val="en-US" w:eastAsia="zh-Hans" w:bidi="ar-SA"/>
              </w:rPr>
            </w:pPr>
          </w:p>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芙蓉国粹</w:t>
            </w:r>
          </w:p>
        </w:tc>
        <w:tc>
          <w:tcPr>
            <w:tcW w:w="3385" w:type="dxa"/>
            <w:tcBorders>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大型川剧晚会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Hans"/>
              </w:rPr>
              <w:t>羌 魂</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大型原生态歌舞剧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Hans"/>
              </w:rPr>
              <w:t>圣象峨眉</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大型综艺晚会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梦回巴国</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大型巴文化情景史诗剧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tcBorders>
            <w:vAlign w:val="center"/>
          </w:tcPr>
          <w:p>
            <w:pPr>
              <w:jc w:val="center"/>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Hans"/>
              </w:rPr>
              <w:t>登嘎甘</w:t>
            </w:r>
            <w:r>
              <w:rPr>
                <w:rFonts w:hint="eastAsia" w:ascii="宋体" w:hAnsi="宋体" w:cs="宋体"/>
                <w:color w:val="auto"/>
                <w:sz w:val="20"/>
                <w:szCs w:val="20"/>
                <w:vertAlign w:val="baseline"/>
                <w:lang w:val="en-US" w:eastAsia="zh-CN"/>
              </w:rPr>
              <w:t>㑇</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大型原生态原创情景剧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vAlign w:val="center"/>
          </w:tcPr>
          <w:p>
            <w:pPr>
              <w:jc w:val="center"/>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Hans"/>
              </w:rPr>
              <w:t>蜀风雅韵</w:t>
            </w:r>
          </w:p>
        </w:tc>
        <w:tc>
          <w:tcPr>
            <w:tcW w:w="3385" w:type="dxa"/>
            <w:tcBorders>
              <w:top w:val="single" w:color="auto" w:sz="4" w:space="0"/>
              <w:bottom w:val="single" w:color="auto" w:sz="4" w:space="0"/>
            </w:tcBorders>
            <w:vAlign w:val="center"/>
          </w:tcPr>
          <w:p>
            <w:pPr>
              <w:ind w:firstLine="500" w:firstLineChars="250"/>
              <w:jc w:val="both"/>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以川剧艺术为主的综艺晚会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bottom w:val="single" w:color="auto" w:sz="4" w:space="0"/>
            </w:tcBorders>
            <w:vAlign w:val="center"/>
          </w:tcPr>
          <w:p>
            <w:pPr>
              <w:keepNext w:val="0"/>
              <w:keepLines w:val="0"/>
              <w:widowControl/>
              <w:suppressLineNumbers w:val="0"/>
              <w:jc w:val="center"/>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kern w:val="2"/>
                <w:sz w:val="20"/>
                <w:szCs w:val="20"/>
                <w:vertAlign w:val="baseline"/>
                <w:lang w:val="en-US" w:eastAsia="zh-Hans" w:bidi="ar-SA"/>
              </w:rPr>
              <w:t>传奇变脸秀</w:t>
            </w:r>
          </w:p>
        </w:tc>
        <w:tc>
          <w:tcPr>
            <w:tcW w:w="3385" w:type="dxa"/>
            <w:tcBorders>
              <w:top w:val="single" w:color="auto" w:sz="4" w:space="0"/>
              <w:bottom w:val="single" w:color="auto" w:sz="4" w:space="0"/>
            </w:tcBorders>
            <w:vAlign w:val="center"/>
          </w:tcPr>
          <w:p>
            <w:pPr>
              <w:keepNext w:val="0"/>
              <w:keepLines w:val="0"/>
              <w:widowControl/>
              <w:suppressLineNumbers w:val="0"/>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大型川剧旅游演出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蜀汉百戏</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综艺晚会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Hans"/>
              </w:rPr>
              <w:t>乐舞三国</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CN"/>
              </w:rPr>
              <w:t>主题戏曲歌舞剧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巴山夜雨</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大型歌舞剧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李白归来</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CN" w:bidi="ar-SA"/>
              </w:rPr>
              <w:t>大型幻景人文诗舞剧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Hans"/>
              </w:rPr>
              <w:t>走进贡嘎</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kern w:val="2"/>
                <w:sz w:val="20"/>
                <w:szCs w:val="20"/>
                <w:vertAlign w:val="baseline"/>
                <w:lang w:val="en-US" w:eastAsia="zh-Hans" w:bidi="ar-SA"/>
              </w:rPr>
              <w:t>大型歌舞晚会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亚丁密码</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CN"/>
              </w:rPr>
              <w:t>大型浸没式冒险秀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斯古拉</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CN"/>
              </w:rPr>
              <w:t>大型室内沉浸式实景演艺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bottom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花重锦官城</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CN"/>
              </w:rPr>
              <w:t>赛博国潮秀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trPr>
        <w:tc>
          <w:tcPr>
            <w:tcW w:w="2622" w:type="dxa"/>
            <w:vMerge w:val="continue"/>
            <w:vAlign w:val="center"/>
          </w:tcPr>
          <w:p>
            <w:pPr>
              <w:jc w:val="center"/>
              <w:rPr>
                <w:rFonts w:hint="eastAsia" w:ascii="宋体" w:hAnsi="宋体" w:eastAsia="宋体" w:cs="宋体"/>
                <w:color w:val="auto"/>
                <w:kern w:val="2"/>
                <w:sz w:val="20"/>
                <w:szCs w:val="20"/>
                <w:vertAlign w:val="baseline"/>
                <w:lang w:val="en-US" w:eastAsia="zh-Hans" w:bidi="ar-SA"/>
              </w:rPr>
            </w:pPr>
          </w:p>
        </w:tc>
        <w:tc>
          <w:tcPr>
            <w:tcW w:w="2254" w:type="dxa"/>
            <w:tcBorders>
              <w:top w:val="single" w:color="auto" w:sz="4" w:space="0"/>
            </w:tcBorders>
            <w:vAlign w:val="center"/>
          </w:tcPr>
          <w:p>
            <w:pPr>
              <w:jc w:val="center"/>
              <w:rPr>
                <w:rFonts w:hint="eastAsia" w:ascii="宋体" w:hAnsi="宋体" w:eastAsia="宋体" w:cs="宋体"/>
                <w:color w:val="auto"/>
                <w:sz w:val="20"/>
                <w:szCs w:val="20"/>
                <w:vertAlign w:val="baseline"/>
                <w:lang w:val="en-US" w:eastAsia="zh-Hans"/>
              </w:rPr>
            </w:pPr>
            <w:r>
              <w:rPr>
                <w:rFonts w:hint="eastAsia" w:ascii="宋体" w:hAnsi="宋体" w:eastAsia="宋体" w:cs="宋体"/>
                <w:color w:val="auto"/>
                <w:sz w:val="20"/>
                <w:szCs w:val="20"/>
                <w:vertAlign w:val="baseline"/>
                <w:lang w:val="en-US" w:eastAsia="zh-Hans"/>
              </w:rPr>
              <w:t>成</w:t>
            </w:r>
            <w:r>
              <w:rPr>
                <w:rFonts w:hint="eastAsia" w:ascii="宋体" w:hAnsi="宋体" w:eastAsia="宋体" w:cs="宋体"/>
                <w:color w:val="auto"/>
                <w:sz w:val="20"/>
                <w:szCs w:val="20"/>
                <w:vertAlign w:val="baseline"/>
                <w:lang w:eastAsia="zh-Hans"/>
              </w:rPr>
              <w:t xml:space="preserve">  </w:t>
            </w:r>
            <w:r>
              <w:rPr>
                <w:rFonts w:hint="eastAsia" w:ascii="宋体" w:hAnsi="宋体" w:eastAsia="宋体" w:cs="宋体"/>
                <w:color w:val="auto"/>
                <w:sz w:val="20"/>
                <w:szCs w:val="20"/>
                <w:vertAlign w:val="baseline"/>
                <w:lang w:val="en-US" w:eastAsia="zh-Hans"/>
              </w:rPr>
              <w:t>都</w:t>
            </w:r>
          </w:p>
        </w:tc>
        <w:tc>
          <w:tcPr>
            <w:tcW w:w="3385" w:type="dxa"/>
            <w:tcBorders>
              <w:top w:val="single" w:color="auto" w:sz="4" w:space="0"/>
              <w:bottom w:val="single" w:color="auto" w:sz="4" w:space="0"/>
            </w:tcBorders>
            <w:vAlign w:val="center"/>
          </w:tcPr>
          <w:p>
            <w:pPr>
              <w:jc w:val="center"/>
              <w:rPr>
                <w:rFonts w:hint="eastAsia" w:ascii="宋体" w:hAnsi="宋体" w:eastAsia="宋体" w:cs="宋体"/>
                <w:color w:val="auto"/>
                <w:kern w:val="2"/>
                <w:sz w:val="20"/>
                <w:szCs w:val="20"/>
                <w:vertAlign w:val="baseline"/>
                <w:lang w:val="en-US" w:eastAsia="zh-Hans" w:bidi="ar-SA"/>
              </w:rPr>
            </w:pPr>
            <w:r>
              <w:rPr>
                <w:rFonts w:hint="eastAsia" w:ascii="宋体" w:hAnsi="宋体" w:eastAsia="宋体" w:cs="宋体"/>
                <w:color w:val="auto"/>
                <w:sz w:val="20"/>
                <w:szCs w:val="20"/>
                <w:vertAlign w:val="baseline"/>
                <w:lang w:val="en-US" w:eastAsia="zh-CN"/>
              </w:rPr>
              <w:t>沉浸式音乐剧</w:t>
            </w:r>
          </w:p>
        </w:tc>
      </w:tr>
    </w:tbl>
    <w:p>
      <w:pPr>
        <w:ind w:firstLine="400" w:firstLineChars="200"/>
        <w:jc w:val="left"/>
        <w:rPr>
          <w:rFonts w:hint="eastAsia" w:ascii="宋体" w:hAnsi="宋体" w:eastAsia="宋体" w:cs="宋体"/>
          <w:color w:val="000000" w:themeColor="text1"/>
          <w:kern w:val="2"/>
          <w:sz w:val="20"/>
          <w:szCs w:val="20"/>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0"/>
          <w:szCs w:val="20"/>
          <w:vertAlign w:val="baseline"/>
          <w:lang w:val="en-US" w:eastAsia="zh-CN" w:bidi="ar-SA"/>
          <w14:textFill>
            <w14:solidFill>
              <w14:schemeClr w14:val="tx1"/>
            </w14:solidFill>
          </w14:textFill>
        </w:rPr>
        <w:t>注：《成都》《丝路神灯》《走北川》《花重锦官城》为拟定2022年首演的项目。</w:t>
      </w:r>
    </w:p>
    <w:p>
      <w:pPr>
        <w:ind w:firstLine="420" w:firstLineChars="200"/>
        <w:jc w:val="both"/>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p>
      <w:pPr>
        <w:pStyle w:val="17"/>
        <w:jc w:val="cente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drawing>
          <wp:inline distT="0" distB="0" distL="114300" distR="114300">
            <wp:extent cx="4572000" cy="2743200"/>
            <wp:effectExtent l="4445" t="4445" r="14605" b="14605"/>
            <wp:docPr id="4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p>
      <w:pPr>
        <w:numPr>
          <w:ilvl w:val="0"/>
          <w:numId w:val="0"/>
        </w:numPr>
        <w:jc w:val="center"/>
        <w:rPr>
          <w:rFonts w:hint="default" w:ascii="宋体" w:hAnsi="宋体" w:eastAsia="宋体" w:cs="宋体"/>
          <w:sz w:val="20"/>
          <w:szCs w:val="20"/>
          <w:lang w:val="en-US" w:eastAsia="zh-Hans"/>
        </w:rPr>
      </w:pPr>
      <w:r>
        <w:rPr>
          <w:rStyle w:val="19"/>
          <w:rFonts w:hint="eastAsia" w:ascii="宋体" w:hAnsi="宋体" w:eastAsia="宋体" w:cs="宋体"/>
          <w:sz w:val="20"/>
          <w:szCs w:val="20"/>
        </w:rPr>
        <w:t>图表</w:t>
      </w:r>
      <w:r>
        <w:rPr>
          <w:rStyle w:val="19"/>
          <w:rFonts w:hint="eastAsia" w:ascii="宋体" w:hAnsi="宋体" w:eastAsia="宋体" w:cs="宋体"/>
          <w:sz w:val="20"/>
          <w:szCs w:val="20"/>
          <w:lang w:val="en-US" w:eastAsia="zh-CN"/>
        </w:rPr>
        <w:t>7</w:t>
      </w:r>
      <w:r>
        <w:rPr>
          <w:rStyle w:val="19"/>
          <w:rFonts w:hint="eastAsia" w:ascii="宋体" w:hAnsi="宋体" w:eastAsia="宋体" w:cs="宋体"/>
          <w:sz w:val="20"/>
          <w:szCs w:val="20"/>
        </w:rPr>
        <w:t>-</w:t>
      </w:r>
      <w:r>
        <w:rPr>
          <w:rStyle w:val="19"/>
          <w:rFonts w:hint="eastAsia" w:ascii="宋体" w:hAnsi="宋体" w:eastAsia="宋体" w:cs="宋体"/>
          <w:sz w:val="20"/>
          <w:szCs w:val="20"/>
          <w:lang w:val="en-US" w:eastAsia="zh-CN"/>
        </w:rPr>
        <w:t>14  四川旅游演艺项目类型分布</w:t>
      </w:r>
    </w:p>
    <w:p>
      <w:pPr>
        <w:pStyle w:val="17"/>
        <w:rPr>
          <w:rFonts w:hint="eastAsia"/>
          <w:lang w:val="en-US" w:eastAsia="zh-CN"/>
        </w:rPr>
      </w:pPr>
    </w:p>
    <w:p>
      <w:pPr>
        <w:numPr>
          <w:ilvl w:val="0"/>
          <w:numId w:val="0"/>
        </w:numPr>
        <w:ind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（二）旅游演艺案例</w:t>
      </w:r>
    </w:p>
    <w:p>
      <w:pPr>
        <w:numPr>
          <w:ilvl w:val="0"/>
          <w:numId w:val="0"/>
        </w:numPr>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 主题公园类——《九寨千古情》</w:t>
      </w:r>
    </w:p>
    <w:p>
      <w:pPr>
        <w:widowControl w:val="0"/>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大型歌舞《九寨千古情》分为 《九寨传说》《古羌战歌》《汉藏和亲》《大爱无疆》《天地吉祥》等场。优美而神秘的藏羌歌舞带你进入穿越时空之旅，辉煌的大唐皇宫展现了文成公主汉藏和亲的壮举。5D实景和高科技手段再现了阿坝州512汶川大地震的惨烈场面，山崩地裂、房倒屋塌，整个剧院和数千个座位强烈震动，千立方大洪水瞬间倾泻而下……一个个真实的故事、一幅幅感人的画面展现了中华民族万众一心抗震救灾的大爱无疆。</w:t>
      </w:r>
    </w:p>
    <w:p>
      <w:pPr>
        <w:numPr>
          <w:ilvl w:val="0"/>
          <w:numId w:val="0"/>
        </w:numPr>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 戏剧幻城——《只有峨眉山》</w:t>
      </w:r>
    </w:p>
    <w:p>
      <w:pPr>
        <w:widowControl w:val="0"/>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只有峨眉山》项目由峨眉山云上旅游投资有限公司投资运营。由著名的舞台剧导演王潮歌执导。是中国首部戏剧幻城，“只有”系列开篇之作。《只有峨眉山》灵感创意来自于峨眉山云海，是占地总面积达117亩的大型剧场群。由三座剧场组成，其中“云之上”为情景体验剧场，“云之中”为园林剧场，“云之下”则为实景村落剧场。项目首次将剧场与周边原生态村落有机融合，打造了观众从室内到室外的行进式观演模式。</w:t>
      </w:r>
    </w:p>
    <w:p>
      <w:pPr>
        <w:numPr>
          <w:ilvl w:val="0"/>
          <w:numId w:val="0"/>
        </w:numPr>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 实景类——《梦境光雾山》</w:t>
      </w:r>
    </w:p>
    <w:p>
      <w:pPr>
        <w:ind w:firstLine="640"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rPr>
        <w:t>夜游光雾山，梦回米仓道——大型行浸式山水夜游《梦境光雾山》，由巴中市文化旅游发展集团有限公司投资出品。九寨看水，光雾看山，山水不全看，不算到四川。巴中市文化旅游发展集团有限公司作为全市文旅产业发展龙头企业，立足光雾山旅游区文旅资源，借助北京华影文旅旗下“梦境”系列作品，联合推出全国首部大型行浸式山水夜游《梦境光雾山》。该作品改变</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光雾山旅游区游客互动项目偏少、过夜游客不多的现状，对大力发展月光经济，带动全域全景全时旅游，传承发扬巴人精神，推动文旅深度融合，助力脱贫攻坚，促进地方经济社会加快发展具有重要意义。</w:t>
      </w:r>
    </w:p>
    <w:p>
      <w:pPr>
        <w:numPr>
          <w:ilvl w:val="0"/>
          <w:numId w:val="0"/>
        </w:numPr>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 实景类——《恩阳船说》</w:t>
      </w:r>
    </w:p>
    <w:p>
      <w:pPr>
        <w:widowControl w:val="0"/>
        <w:numPr>
          <w:ilvl w:val="0"/>
          <w:numId w:val="0"/>
        </w:numPr>
        <w:ind w:firstLine="640"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恩阳船说”是四川首个“游船+演艺+灯光秀+教育内容”讲述千年历史文化的沉浸式演出。2020年12月，巴中市船说文旅游有限公司联手恩阳区政府共同打造大型情景式夜游演艺项目“恩阳船说”。项目深挖恩阳古镇千年历史文化资源，采用现代科技声光电影、激光等新型舞台技术加真人演绎，一共分为8幕演出，以大宋盛世为历史背景，讲述恩阳男儿阿龙与凤儿定下红梅之约，阿龙进京考取状元，为国征战沙场，凯旋归来与凤儿完美成婚的故事。游客通过登上时光穿梭船，瞬间穿越到千年前的恩阳古镇，游客为阿龙为国征战杀敌场面应声叫好，为阿龙与凤儿不能团聚黯然泪下，为阿龙和凤儿历经磨难终成眷属而欣喜若狂，演出背景再现了古时恩阳古镇的繁华盛景，对所有游客进行了恩义、恩爱、恩典”正能量的引领教育。公司演艺人员全部来自四川音乐学院、四川电影电视学院等艺术类高校舞蹈专业，先后被中央电视总台《共同关注》、四川电视台《四川新闻联播》等20家媒体广泛报道。</w:t>
      </w:r>
    </w:p>
    <w:p>
      <w:pPr>
        <w:numPr>
          <w:ilvl w:val="0"/>
          <w:numId w:val="8"/>
        </w:numPr>
        <w:ind w:left="0"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剧场类——《梦回巴国》</w:t>
      </w:r>
    </w:p>
    <w:p>
      <w:pPr>
        <w:widowControl w:val="0"/>
        <w:numPr>
          <w:ilvl w:val="0"/>
          <w:numId w:val="0"/>
        </w:numPr>
        <w:ind w:firstLine="640"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四川巴山大峡谷梦回巴国演艺文化产业有限公司成立于2018年1月，公司的核心剧目是大型沉降式情景史诗《梦回巴国》。该剧目立足古老巴国文明，以横贯古今，悲壮凄美的爱情传奇为主线，由“寻找巴国、探秘巴国、凝望巴国、梦回巴国等情节组成，集歌、舞、特技、影像等多种模式于一体，表演时长约70分钟。项目总导演为曾执导三届央视春晚的导演哈文，执行导演为国家一级编导、中国东方演艺集团创意总监沈晨，舞美设计为国家一级舞美灯光设计师，G20杭州峰会《最忆是杭州》晚会总制作人沙晓岚。《梦回巴国》剧场内部空间设计为270°半包围式观演关系，分块式机械舞台具备升降、旋转、开阖、悬浮等功能，打造天地逆转、山河倒悬、烈火扑面、巨浪滔天等极致的视觉体验；全国首个纵向整体升降式体感观众席，可承载着全体观众完成大幅度的上升、下降变化，与舞台空间的表演相结合，体验从万丈高崖上猛烈坠落、从翻腾的云海里一跃而出、在几千米的高空中畅快滑翔等奇妙的体感效果。</w:t>
      </w:r>
    </w:p>
    <w:p>
      <w:pPr>
        <w:numPr>
          <w:ilvl w:val="0"/>
          <w:numId w:val="8"/>
        </w:numPr>
        <w:ind w:left="0"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剧场类——《登嘎甘㑇》</w:t>
      </w:r>
    </w:p>
    <w:p>
      <w:pPr>
        <w:widowControl w:val="0"/>
        <w:numPr>
          <w:ilvl w:val="0"/>
          <w:numId w:val="0"/>
        </w:num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登嘎甘㑇》是九寨沟县文体局与星宇集团联袂推出的一台大型原生态原创情景剧。节目时长60分钟，展现了九寨沟当地四个国家级非物质文化遗产（㑇舞、南坪曲子、川西藏族山歌、登嘎甘㑇），一个省级非物质文化遗产（涂墨狂欢）。通过白马藏人的生活场景把九寨沟这五项非遗文化以情景剧的形式呈现给观众，这是一部展现九寨沟人文资源的原创歌舞剧。该剧分为《熊猫秘境》《熊猫乐园》《涂墨狂欢》三个篇章演绎，全场演出大量运用了舞台装置与多媒体技术，令现场呈现出裸眼3D版的炫酷效果。</w:t>
      </w:r>
    </w:p>
    <w:p>
      <w:pPr>
        <w:numPr>
          <w:ilvl w:val="0"/>
          <w:numId w:val="0"/>
        </w:numPr>
        <w:ind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（三）新增旅游演艺项目</w:t>
      </w:r>
    </w:p>
    <w:p>
      <w:pPr>
        <w:ind w:firstLine="640" w:firstLineChars="200"/>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近年来，各地根据自己的历史文化资源，打造旅游演艺项目，例如：古蔺县文旅局编排了大型实景情景剧《四渡赤水在古蔺》，北川推出了展现北川羌族的民族风俗大型实景体验剧《走北川》</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2022年7月，南充市杂技团推出了全面展示了南充丝绸文化的演进和丝绸产业的变迁的舞台情景剧在南充丝绸园上演。阆中古城在嘉陵江上创编了夜游演艺《客来阆中》。打造了升级版的《阆苑仙境》《蜀道盛世》</w:t>
      </w:r>
      <w:r>
        <w:rPr>
          <w:rFonts w:hint="eastAsia" w:ascii="仿宋_GB2312" w:hAnsi="仿宋_GB2312" w:eastAsia="仿宋_GB2312" w:cs="仿宋_GB2312"/>
          <w:b w:val="0"/>
          <w:bCs w:val="0"/>
          <w:sz w:val="32"/>
          <w:szCs w:val="32"/>
          <w:lang w:eastAsia="zh-CN"/>
        </w:rPr>
        <w:t>。</w:t>
      </w:r>
    </w:p>
    <w:p>
      <w:pPr>
        <w:jc w:val="center"/>
        <w:rPr>
          <w:rFonts w:hint="eastAsia" w:ascii="宋体" w:hAnsi="宋体" w:cs="宋体"/>
          <w:b/>
          <w:bCs/>
          <w:sz w:val="20"/>
          <w:szCs w:val="20"/>
          <w:lang w:val="en-US" w:eastAsia="zh-CN"/>
        </w:rPr>
      </w:pPr>
      <w:r>
        <w:rPr>
          <w:rFonts w:hint="eastAsia" w:ascii="宋体" w:hAnsi="宋体" w:cs="宋体"/>
          <w:b/>
          <w:bCs/>
          <w:sz w:val="20"/>
          <w:szCs w:val="20"/>
          <w:lang w:val="en-US" w:eastAsia="zh-CN"/>
        </w:rPr>
        <w:t xml:space="preserve"> </w:t>
      </w:r>
    </w:p>
    <w:p>
      <w:pPr>
        <w:jc w:val="center"/>
        <w:rPr>
          <w:rFonts w:hint="eastAsia" w:ascii="宋体" w:hAnsi="宋体" w:eastAsia="宋体" w:cs="宋体"/>
          <w:b/>
          <w:bCs/>
          <w:sz w:val="20"/>
          <w:szCs w:val="20"/>
          <w:lang w:val="en-US" w:eastAsia="zh-Hans"/>
        </w:rPr>
      </w:pPr>
      <w:r>
        <w:rPr>
          <w:rFonts w:hint="eastAsia" w:ascii="宋体" w:hAnsi="宋体" w:cs="宋体"/>
          <w:b/>
          <w:bCs/>
          <w:sz w:val="20"/>
          <w:szCs w:val="20"/>
          <w:lang w:val="en-US" w:eastAsia="zh-CN"/>
        </w:rPr>
        <w:t xml:space="preserve"> 图表7-15  </w:t>
      </w:r>
      <w:r>
        <w:rPr>
          <w:rFonts w:hint="eastAsia" w:ascii="宋体" w:hAnsi="宋体" w:eastAsia="宋体" w:cs="宋体"/>
          <w:b/>
          <w:bCs/>
          <w:sz w:val="20"/>
          <w:szCs w:val="20"/>
        </w:rPr>
        <w:t>202</w:t>
      </w:r>
      <w:r>
        <w:rPr>
          <w:rFonts w:hint="eastAsia" w:ascii="宋体" w:hAnsi="宋体" w:cs="宋体"/>
          <w:b/>
          <w:bCs/>
          <w:sz w:val="20"/>
          <w:szCs w:val="20"/>
          <w:lang w:val="en-US" w:eastAsia="zh-CN"/>
        </w:rPr>
        <w:t>2</w:t>
      </w:r>
      <w:r>
        <w:rPr>
          <w:rFonts w:hint="eastAsia" w:ascii="宋体" w:hAnsi="宋体" w:eastAsia="宋体" w:cs="宋体"/>
          <w:b/>
          <w:bCs/>
          <w:sz w:val="20"/>
          <w:szCs w:val="20"/>
          <w:lang w:val="en-US" w:eastAsia="zh-Hans"/>
        </w:rPr>
        <w:t>年部分新增旅游演艺项目表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680"/>
        <w:gridCol w:w="1875"/>
        <w:gridCol w:w="204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90" w:type="dxa"/>
            <w:vMerge w:val="restart"/>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序号</w:t>
            </w:r>
          </w:p>
        </w:tc>
        <w:tc>
          <w:tcPr>
            <w:tcW w:w="1680" w:type="dxa"/>
            <w:vMerge w:val="restart"/>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项目名称</w:t>
            </w:r>
          </w:p>
        </w:tc>
        <w:tc>
          <w:tcPr>
            <w:tcW w:w="1875" w:type="dxa"/>
            <w:vMerge w:val="restart"/>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所在地</w:t>
            </w:r>
          </w:p>
        </w:tc>
        <w:tc>
          <w:tcPr>
            <w:tcW w:w="2040" w:type="dxa"/>
            <w:vMerge w:val="restart"/>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类型特点</w:t>
            </w:r>
          </w:p>
        </w:tc>
        <w:tc>
          <w:tcPr>
            <w:tcW w:w="1860" w:type="dxa"/>
            <w:vMerge w:val="restart"/>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首演或预计</w:t>
            </w:r>
          </w:p>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首演时间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3" w:hRule="atLeast"/>
        </w:trPr>
        <w:tc>
          <w:tcPr>
            <w:tcW w:w="890" w:type="dxa"/>
            <w:vMerge w:val="continue"/>
            <w:vAlign w:val="center"/>
          </w:tcPr>
          <w:p>
            <w:pPr>
              <w:jc w:val="center"/>
              <w:rPr>
                <w:rFonts w:hint="eastAsia" w:ascii="宋体" w:hAnsi="宋体" w:eastAsia="宋体" w:cs="宋体"/>
                <w:sz w:val="20"/>
                <w:szCs w:val="20"/>
                <w:vertAlign w:val="baseline"/>
                <w:lang w:val="en-US" w:eastAsia="zh-Hans"/>
              </w:rPr>
            </w:pPr>
          </w:p>
        </w:tc>
        <w:tc>
          <w:tcPr>
            <w:tcW w:w="1680" w:type="dxa"/>
            <w:vMerge w:val="continue"/>
            <w:vAlign w:val="center"/>
          </w:tcPr>
          <w:p>
            <w:pPr>
              <w:jc w:val="center"/>
              <w:rPr>
                <w:rFonts w:hint="eastAsia" w:ascii="宋体" w:hAnsi="宋体" w:eastAsia="宋体" w:cs="宋体"/>
                <w:sz w:val="20"/>
                <w:szCs w:val="20"/>
                <w:vertAlign w:val="baseline"/>
                <w:lang w:val="en-US" w:eastAsia="zh-Hans"/>
              </w:rPr>
            </w:pPr>
          </w:p>
        </w:tc>
        <w:tc>
          <w:tcPr>
            <w:tcW w:w="1875" w:type="dxa"/>
            <w:vMerge w:val="continue"/>
            <w:vAlign w:val="center"/>
          </w:tcPr>
          <w:p>
            <w:pPr>
              <w:jc w:val="center"/>
              <w:rPr>
                <w:rFonts w:hint="eastAsia" w:ascii="宋体" w:hAnsi="宋体" w:eastAsia="宋体" w:cs="宋体"/>
                <w:sz w:val="20"/>
                <w:szCs w:val="20"/>
                <w:vertAlign w:val="baseline"/>
                <w:lang w:val="en-US" w:eastAsia="zh-Hans"/>
              </w:rPr>
            </w:pPr>
          </w:p>
        </w:tc>
        <w:tc>
          <w:tcPr>
            <w:tcW w:w="2040" w:type="dxa"/>
            <w:vMerge w:val="continue"/>
            <w:vAlign w:val="center"/>
          </w:tcPr>
          <w:p>
            <w:pPr>
              <w:jc w:val="center"/>
              <w:rPr>
                <w:rFonts w:hint="eastAsia" w:ascii="宋体" w:hAnsi="宋体" w:eastAsia="宋体" w:cs="宋体"/>
                <w:sz w:val="20"/>
                <w:szCs w:val="20"/>
                <w:vertAlign w:val="baseline"/>
                <w:lang w:val="en-US" w:eastAsia="zh-Hans"/>
              </w:rPr>
            </w:pPr>
          </w:p>
        </w:tc>
        <w:tc>
          <w:tcPr>
            <w:tcW w:w="1860" w:type="dxa"/>
            <w:vMerge w:val="continue"/>
            <w:vAlign w:val="center"/>
          </w:tcPr>
          <w:p>
            <w:pPr>
              <w:jc w:val="center"/>
              <w:rPr>
                <w:rFonts w:hint="eastAsia" w:ascii="宋体" w:hAnsi="宋体" w:eastAsia="宋体" w:cs="宋体"/>
                <w:sz w:val="20"/>
                <w:szCs w:val="20"/>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890" w:type="dxa"/>
            <w:vAlign w:val="center"/>
          </w:tcPr>
          <w:p>
            <w:pPr>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w:t>
            </w:r>
          </w:p>
        </w:tc>
        <w:tc>
          <w:tcPr>
            <w:tcW w:w="168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CN" w:bidi="ar-SA"/>
              </w:rPr>
              <w:t>四渡赤水在古蔺</w:t>
            </w:r>
          </w:p>
        </w:tc>
        <w:tc>
          <w:tcPr>
            <w:tcW w:w="1875"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古蔺县太平古镇</w:t>
            </w:r>
          </w:p>
        </w:tc>
        <w:tc>
          <w:tcPr>
            <w:tcW w:w="204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CN" w:bidi="ar-SA"/>
              </w:rPr>
              <w:t>大型情景</w:t>
            </w:r>
            <w:r>
              <w:rPr>
                <w:rFonts w:hint="eastAsia" w:ascii="宋体" w:hAnsi="宋体" w:eastAsia="宋体" w:cs="宋体"/>
                <w:kern w:val="2"/>
                <w:sz w:val="20"/>
                <w:szCs w:val="20"/>
                <w:vertAlign w:val="baseline"/>
                <w:lang w:val="en-US" w:eastAsia="zh-Hans" w:bidi="ar-SA"/>
              </w:rPr>
              <w:t>体验</w:t>
            </w:r>
            <w:r>
              <w:rPr>
                <w:rFonts w:hint="eastAsia" w:ascii="宋体" w:hAnsi="宋体" w:eastAsia="宋体" w:cs="宋体"/>
                <w:kern w:val="2"/>
                <w:sz w:val="20"/>
                <w:szCs w:val="20"/>
                <w:vertAlign w:val="baseline"/>
                <w:lang w:val="en-US" w:eastAsia="zh-CN" w:bidi="ar-SA"/>
              </w:rPr>
              <w:t>剧</w:t>
            </w:r>
          </w:p>
        </w:tc>
        <w:tc>
          <w:tcPr>
            <w:tcW w:w="186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2022</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1</w:t>
            </w:r>
            <w:r>
              <w:rPr>
                <w:rFonts w:hint="eastAsia" w:ascii="宋体" w:hAnsi="宋体" w:eastAsia="宋体" w:cs="宋体"/>
                <w:sz w:val="20"/>
                <w:szCs w:val="20"/>
                <w:vertAlign w:val="baseline"/>
                <w:lang w:val="en-US" w:eastAsia="zh-Hans"/>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890" w:type="dxa"/>
            <w:vAlign w:val="center"/>
          </w:tcPr>
          <w:p>
            <w:pPr>
              <w:jc w:val="center"/>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2</w:t>
            </w:r>
          </w:p>
        </w:tc>
        <w:tc>
          <w:tcPr>
            <w:tcW w:w="168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走北川</w:t>
            </w:r>
          </w:p>
        </w:tc>
        <w:tc>
          <w:tcPr>
            <w:tcW w:w="1875"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cs="宋体"/>
                <w:sz w:val="20"/>
                <w:szCs w:val="20"/>
                <w:vertAlign w:val="baseline"/>
                <w:lang w:val="en-US" w:eastAsia="zh-Hans"/>
              </w:rPr>
              <w:t>北川禹王广场</w:t>
            </w:r>
          </w:p>
        </w:tc>
        <w:tc>
          <w:tcPr>
            <w:tcW w:w="2040" w:type="dxa"/>
            <w:vAlign w:val="center"/>
          </w:tcPr>
          <w:p>
            <w:pPr>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kern w:val="2"/>
                <w:sz w:val="20"/>
                <w:szCs w:val="20"/>
                <w:vertAlign w:val="baseline"/>
                <w:lang w:val="en-US" w:eastAsia="zh-CN" w:bidi="ar-SA"/>
              </w:rPr>
              <w:t>大型实景体验剧</w:t>
            </w:r>
          </w:p>
        </w:tc>
        <w:tc>
          <w:tcPr>
            <w:tcW w:w="186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2022</w:t>
            </w:r>
            <w:r>
              <w:rPr>
                <w:rFonts w:hint="eastAsia" w:ascii="宋体" w:hAnsi="宋体" w:eastAsia="宋体" w:cs="宋体"/>
                <w:sz w:val="20"/>
                <w:szCs w:val="20"/>
                <w:vertAlign w:val="baseline"/>
                <w:lang w:val="en-US" w:eastAsia="zh-Hans"/>
              </w:rPr>
              <w:t>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89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3</w:t>
            </w:r>
          </w:p>
        </w:tc>
        <w:tc>
          <w:tcPr>
            <w:tcW w:w="168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CN"/>
              </w:rPr>
              <w:t>东方丝源</w:t>
            </w:r>
          </w:p>
        </w:tc>
        <w:tc>
          <w:tcPr>
            <w:tcW w:w="1875"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CN"/>
              </w:rPr>
              <w:t>南充市高坪区六合丝绸博览园</w:t>
            </w:r>
          </w:p>
        </w:tc>
        <w:tc>
          <w:tcPr>
            <w:tcW w:w="2040" w:type="dxa"/>
            <w:vAlign w:val="center"/>
          </w:tcPr>
          <w:p>
            <w:pPr>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CN"/>
              </w:rPr>
              <w:t>大型杂技舞台情景剧</w:t>
            </w:r>
          </w:p>
        </w:tc>
        <w:tc>
          <w:tcPr>
            <w:tcW w:w="186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2022</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7</w:t>
            </w:r>
            <w:r>
              <w:rPr>
                <w:rFonts w:hint="eastAsia" w:ascii="宋体" w:hAnsi="宋体" w:eastAsia="宋体" w:cs="宋体"/>
                <w:sz w:val="20"/>
                <w:szCs w:val="20"/>
                <w:vertAlign w:val="baseline"/>
                <w:lang w:val="en-US" w:eastAsia="zh-Hans"/>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89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4</w:t>
            </w:r>
          </w:p>
        </w:tc>
        <w:tc>
          <w:tcPr>
            <w:tcW w:w="1680"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花重锦官城</w:t>
            </w:r>
          </w:p>
        </w:tc>
        <w:tc>
          <w:tcPr>
            <w:tcW w:w="1875" w:type="dxa"/>
            <w:vAlign w:val="center"/>
          </w:tcPr>
          <w:p>
            <w:pPr>
              <w:jc w:val="cente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成都文殊坊</w:t>
            </w:r>
          </w:p>
        </w:tc>
        <w:tc>
          <w:tcPr>
            <w:tcW w:w="2040" w:type="dxa"/>
            <w:vAlign w:val="center"/>
          </w:tcPr>
          <w:p>
            <w:pPr>
              <w:jc w:val="center"/>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val="en-US" w:eastAsia="zh-CN"/>
              </w:rPr>
              <w:t>赛博国潮秀</w:t>
            </w:r>
          </w:p>
        </w:tc>
        <w:tc>
          <w:tcPr>
            <w:tcW w:w="186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2022</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8</w:t>
            </w:r>
            <w:r>
              <w:rPr>
                <w:rFonts w:hint="eastAsia" w:ascii="宋体" w:hAnsi="宋体" w:eastAsia="宋体" w:cs="宋体"/>
                <w:sz w:val="20"/>
                <w:szCs w:val="20"/>
                <w:vertAlign w:val="baseline"/>
                <w:lang w:val="en-US" w:eastAsia="zh-Hans"/>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89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eastAsia="zh-Hans"/>
              </w:rPr>
              <w:t>5</w:t>
            </w:r>
          </w:p>
        </w:tc>
        <w:tc>
          <w:tcPr>
            <w:tcW w:w="168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客来阆中</w:t>
            </w:r>
          </w:p>
        </w:tc>
        <w:tc>
          <w:tcPr>
            <w:tcW w:w="1875"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阆中古城</w:t>
            </w:r>
          </w:p>
        </w:tc>
        <w:tc>
          <w:tcPr>
            <w:tcW w:w="204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江上实景夜游演艺</w:t>
            </w:r>
          </w:p>
        </w:tc>
        <w:tc>
          <w:tcPr>
            <w:tcW w:w="1860" w:type="dxa"/>
            <w:vAlign w:val="center"/>
          </w:tcPr>
          <w:p>
            <w:pPr>
              <w:jc w:val="center"/>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2022</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11</w:t>
            </w:r>
            <w:r>
              <w:rPr>
                <w:rFonts w:hint="eastAsia" w:ascii="宋体" w:hAnsi="宋体" w:eastAsia="宋体" w:cs="宋体"/>
                <w:sz w:val="20"/>
                <w:szCs w:val="20"/>
                <w:vertAlign w:val="baseline"/>
                <w:lang w:val="en-US" w:eastAsia="zh-Hans"/>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890" w:type="dxa"/>
            <w:vAlign w:val="center"/>
          </w:tcPr>
          <w:p>
            <w:pPr>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6</w:t>
            </w:r>
          </w:p>
        </w:tc>
        <w:tc>
          <w:tcPr>
            <w:tcW w:w="168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CN"/>
              </w:rPr>
              <w:t>蜀道盛世</w:t>
            </w:r>
          </w:p>
        </w:tc>
        <w:tc>
          <w:tcPr>
            <w:tcW w:w="1875"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阆中古城南津关</w:t>
            </w:r>
          </w:p>
        </w:tc>
        <w:tc>
          <w:tcPr>
            <w:tcW w:w="204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沉浸式实景</w:t>
            </w:r>
          </w:p>
        </w:tc>
        <w:tc>
          <w:tcPr>
            <w:tcW w:w="1860" w:type="dxa"/>
            <w:vAlign w:val="center"/>
          </w:tcPr>
          <w:p>
            <w:pPr>
              <w:jc w:val="center"/>
              <w:rPr>
                <w:rFonts w:hint="eastAsia" w:ascii="宋体" w:hAnsi="宋体" w:eastAsia="宋体" w:cs="宋体"/>
                <w:kern w:val="2"/>
                <w:sz w:val="20"/>
                <w:szCs w:val="20"/>
                <w:vertAlign w:val="baseline"/>
                <w:lang w:eastAsia="zh-Hans" w:bidi="ar-SA"/>
              </w:rPr>
            </w:pPr>
            <w:r>
              <w:rPr>
                <w:rFonts w:hint="eastAsia" w:ascii="宋体" w:hAnsi="宋体" w:eastAsia="宋体" w:cs="宋体"/>
                <w:sz w:val="20"/>
                <w:szCs w:val="20"/>
                <w:vertAlign w:val="baseline"/>
                <w:lang w:eastAsia="zh-Hans"/>
              </w:rPr>
              <w:t>2022</w:t>
            </w:r>
            <w:r>
              <w:rPr>
                <w:rFonts w:hint="eastAsia" w:ascii="宋体" w:hAnsi="宋体" w:eastAsia="宋体" w:cs="宋体"/>
                <w:sz w:val="20"/>
                <w:szCs w:val="20"/>
                <w:vertAlign w:val="baseline"/>
                <w:lang w:val="en-US" w:eastAsia="zh-Hans"/>
              </w:rPr>
              <w:t>年</w:t>
            </w:r>
            <w:r>
              <w:rPr>
                <w:rFonts w:hint="eastAsia" w:ascii="宋体" w:hAnsi="宋体" w:eastAsia="宋体" w:cs="宋体"/>
                <w:sz w:val="20"/>
                <w:szCs w:val="20"/>
                <w:vertAlign w:val="baseline"/>
                <w:lang w:eastAsia="zh-Hans"/>
              </w:rPr>
              <w:t>11</w:t>
            </w:r>
            <w:r>
              <w:rPr>
                <w:rFonts w:hint="eastAsia" w:ascii="宋体" w:hAnsi="宋体" w:eastAsia="宋体" w:cs="宋体"/>
                <w:sz w:val="20"/>
                <w:szCs w:val="20"/>
                <w:vertAlign w:val="baseline"/>
                <w:lang w:val="en-US" w:eastAsia="zh-Hans"/>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890" w:type="dxa"/>
            <w:vAlign w:val="center"/>
          </w:tcPr>
          <w:p>
            <w:pPr>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7</w:t>
            </w:r>
          </w:p>
        </w:tc>
        <w:tc>
          <w:tcPr>
            <w:tcW w:w="168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丝路神灯</w:t>
            </w:r>
          </w:p>
        </w:tc>
        <w:tc>
          <w:tcPr>
            <w:tcW w:w="1875"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大英县丝路幻城</w:t>
            </w:r>
          </w:p>
        </w:tc>
        <w:tc>
          <w:tcPr>
            <w:tcW w:w="2040" w:type="dxa"/>
            <w:vAlign w:val="center"/>
          </w:tcPr>
          <w:p>
            <w:pPr>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kern w:val="2"/>
                <w:sz w:val="20"/>
                <w:szCs w:val="20"/>
                <w:vertAlign w:val="baseline"/>
                <w:lang w:val="en-US" w:eastAsia="zh-CN" w:bidi="ar-SA"/>
              </w:rPr>
              <w:t>大型山水实景</w:t>
            </w:r>
            <w:r>
              <w:rPr>
                <w:rFonts w:hint="eastAsia" w:ascii="宋体" w:hAnsi="宋体" w:eastAsia="宋体" w:cs="宋体"/>
                <w:kern w:val="2"/>
                <w:sz w:val="20"/>
                <w:szCs w:val="20"/>
                <w:vertAlign w:val="baseline"/>
                <w:lang w:val="en-US" w:eastAsia="zh-Hans" w:bidi="ar-SA"/>
              </w:rPr>
              <w:t>剧</w:t>
            </w:r>
          </w:p>
        </w:tc>
        <w:tc>
          <w:tcPr>
            <w:tcW w:w="186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预计</w:t>
            </w:r>
            <w:r>
              <w:rPr>
                <w:rFonts w:hint="eastAsia" w:ascii="宋体" w:hAnsi="宋体" w:eastAsia="宋体" w:cs="宋体"/>
                <w:sz w:val="20"/>
                <w:szCs w:val="20"/>
                <w:vertAlign w:val="baseline"/>
                <w:lang w:eastAsia="zh-Hans"/>
              </w:rPr>
              <w:t>2022</w:t>
            </w:r>
            <w:r>
              <w:rPr>
                <w:rFonts w:hint="eastAsia" w:ascii="宋体" w:hAnsi="宋体" w:eastAsia="宋体" w:cs="宋体"/>
                <w:sz w:val="20"/>
                <w:szCs w:val="20"/>
                <w:vertAlign w:val="baseline"/>
                <w:lang w:val="en-US" w:eastAsia="zh-Hans"/>
              </w:rPr>
              <w:t>年底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890" w:type="dxa"/>
            <w:vAlign w:val="center"/>
          </w:tcPr>
          <w:p>
            <w:pPr>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8</w:t>
            </w:r>
          </w:p>
        </w:tc>
        <w:tc>
          <w:tcPr>
            <w:tcW w:w="168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成</w:t>
            </w:r>
            <w:r>
              <w:rPr>
                <w:rFonts w:hint="eastAsia" w:ascii="宋体" w:hAnsi="宋体" w:eastAsia="宋体" w:cs="宋体"/>
                <w:sz w:val="20"/>
                <w:szCs w:val="20"/>
                <w:vertAlign w:val="baseline"/>
                <w:lang w:eastAsia="zh-Hans"/>
              </w:rPr>
              <w:t xml:space="preserve"> </w:t>
            </w:r>
            <w:r>
              <w:rPr>
                <w:rFonts w:hint="eastAsia" w:ascii="宋体" w:hAnsi="宋体" w:eastAsia="宋体" w:cs="宋体"/>
                <w:sz w:val="20"/>
                <w:szCs w:val="20"/>
                <w:vertAlign w:val="baseline"/>
                <w:lang w:val="en-US" w:eastAsia="zh-Hans"/>
              </w:rPr>
              <w:t>都</w:t>
            </w:r>
          </w:p>
        </w:tc>
        <w:tc>
          <w:tcPr>
            <w:tcW w:w="1875"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kern w:val="2"/>
                <w:sz w:val="20"/>
                <w:szCs w:val="20"/>
                <w:vertAlign w:val="baseline"/>
                <w:lang w:val="en-US" w:eastAsia="zh-Hans" w:bidi="ar-SA"/>
              </w:rPr>
              <w:t>成都武侯区音乐坊</w:t>
            </w:r>
          </w:p>
        </w:tc>
        <w:tc>
          <w:tcPr>
            <w:tcW w:w="2040" w:type="dxa"/>
            <w:vAlign w:val="center"/>
          </w:tcPr>
          <w:p>
            <w:pPr>
              <w:jc w:val="center"/>
              <w:rPr>
                <w:rFonts w:hint="eastAsia" w:ascii="宋体" w:hAnsi="宋体" w:eastAsia="宋体" w:cs="宋体"/>
                <w:kern w:val="2"/>
                <w:sz w:val="20"/>
                <w:szCs w:val="20"/>
                <w:vertAlign w:val="baseline"/>
                <w:lang w:val="en-US" w:eastAsia="zh-CN" w:bidi="ar-SA"/>
              </w:rPr>
            </w:pPr>
            <w:r>
              <w:rPr>
                <w:rFonts w:hint="eastAsia" w:ascii="宋体" w:hAnsi="宋体" w:eastAsia="宋体" w:cs="宋体"/>
                <w:sz w:val="20"/>
                <w:szCs w:val="20"/>
                <w:vertAlign w:val="baseline"/>
                <w:lang w:val="en-US" w:eastAsia="zh-CN"/>
              </w:rPr>
              <w:t>沉浸式音乐剧</w:t>
            </w:r>
          </w:p>
        </w:tc>
        <w:tc>
          <w:tcPr>
            <w:tcW w:w="1860" w:type="dxa"/>
            <w:vAlign w:val="center"/>
          </w:tcPr>
          <w:p>
            <w:pPr>
              <w:jc w:val="center"/>
              <w:rPr>
                <w:rFonts w:hint="eastAsia" w:ascii="宋体" w:hAnsi="宋体" w:eastAsia="宋体" w:cs="宋体"/>
                <w:kern w:val="2"/>
                <w:sz w:val="20"/>
                <w:szCs w:val="20"/>
                <w:vertAlign w:val="baseline"/>
                <w:lang w:val="en-US" w:eastAsia="zh-Hans" w:bidi="ar-SA"/>
              </w:rPr>
            </w:pPr>
            <w:r>
              <w:rPr>
                <w:rFonts w:hint="eastAsia" w:ascii="宋体" w:hAnsi="宋体" w:eastAsia="宋体" w:cs="宋体"/>
                <w:sz w:val="20"/>
                <w:szCs w:val="20"/>
                <w:vertAlign w:val="baseline"/>
                <w:lang w:val="en-US" w:eastAsia="zh-Hans"/>
              </w:rPr>
              <w:t>预计</w:t>
            </w:r>
            <w:r>
              <w:rPr>
                <w:rFonts w:hint="eastAsia" w:ascii="宋体" w:hAnsi="宋体" w:eastAsia="宋体" w:cs="宋体"/>
                <w:sz w:val="20"/>
                <w:szCs w:val="20"/>
                <w:vertAlign w:val="baseline"/>
                <w:lang w:eastAsia="zh-Hans"/>
              </w:rPr>
              <w:t>2022</w:t>
            </w:r>
            <w:r>
              <w:rPr>
                <w:rFonts w:hint="eastAsia" w:ascii="宋体" w:hAnsi="宋体" w:eastAsia="宋体" w:cs="宋体"/>
                <w:sz w:val="20"/>
                <w:szCs w:val="20"/>
                <w:vertAlign w:val="baseline"/>
                <w:lang w:val="en-US" w:eastAsia="zh-Hans"/>
              </w:rPr>
              <w:t>年底</w:t>
            </w:r>
          </w:p>
        </w:tc>
      </w:tr>
    </w:tbl>
    <w:p>
      <w:pPr>
        <w:numPr>
          <w:ilvl w:val="0"/>
          <w:numId w:val="0"/>
        </w:numPr>
        <w:rPr>
          <w:rFonts w:hint="eastAsia" w:ascii="宋体" w:hAnsi="宋体" w:eastAsia="宋体" w:cs="宋体"/>
          <w:b/>
          <w:bCs/>
          <w:sz w:val="24"/>
          <w:szCs w:val="24"/>
          <w:lang w:val="en-US" w:eastAsia="zh-CN"/>
        </w:rPr>
      </w:pPr>
    </w:p>
    <w:p>
      <w:pPr>
        <w:numPr>
          <w:ilvl w:val="0"/>
          <w:numId w:val="9"/>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《丝路神灯》</w:t>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丝路神灯》由中恒山海文旅集团与山水盛典股份联合打造，总投资超10亿，也是目前四川省投资总额最大的文旅项目。占地近200亩、建筑面积超3万平方米，可同时容纳3000余位观众沉浸式互动观演，近百头西域动物、近五百名演员团队，为观众呈现一场“每一秒都震撼人心”的文化盛宴。演出所在的丝路奇幻城度假区，是四川省十大文旅在建项目、一带一路沉浸式文化景区的代表，未来将逐步形成以《丝路神灯》为主体，以丝路沿途特色文化为灵魂，通过艺术编排和高科技运用，将游客喜爱的情景秀、魔术秀、水秀等文化演艺内容融入于环境之中，打造全天候演艺形态，沉浸式文旅新城。</w:t>
      </w:r>
    </w:p>
    <w:p>
      <w:pPr>
        <w:numPr>
          <w:ilvl w:val="0"/>
          <w:numId w:val="9"/>
        </w:numPr>
        <w:ind w:left="0" w:leftChars="0"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《蜀道盛世》</w:t>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蜀道盛世》是阆中华诚文化体育发展有限公司打造的室外大型移动实景演出，以阆中古城为背景，以南津关古镇、嘉陵江为舞台，营造出亦梦亦幻、大气唯美的场景，让观众充分领略川北民俗文化的独特魅力。《蜀道盛世》有“蜀味市井”“蜀道咏叹”“川剧变脸”“戏影千年”等13个节目，以蜀道为主线，融入川北民俗表演，构成了蜀道盛世的生动画卷。</w:t>
      </w:r>
    </w:p>
    <w:p>
      <w:pPr>
        <w:numPr>
          <w:ilvl w:val="0"/>
          <w:numId w:val="9"/>
        </w:numPr>
        <w:ind w:left="0"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《成都》</w:t>
      </w:r>
    </w:p>
    <w:p>
      <w:pPr>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原创音乐戏剧《成都》是由中演现场出品</w:t>
      </w:r>
      <w:r>
        <w:rPr>
          <w:rFonts w:hint="eastAsia" w:ascii="仿宋_GB2312" w:hAnsi="仿宋_GB2312" w:eastAsia="仿宋_GB2312" w:cs="仿宋_GB2312"/>
          <w:b w:val="0"/>
          <w:bCs w:val="0"/>
          <w:kern w:val="2"/>
          <w:sz w:val="32"/>
          <w:szCs w:val="32"/>
          <w:lang w:val="en-US" w:eastAsia="zh-Hans" w:bidi="ar-SA"/>
        </w:rPr>
        <w:t>制作</w:t>
      </w:r>
      <w:r>
        <w:rPr>
          <w:rFonts w:hint="eastAsia" w:ascii="仿宋_GB2312" w:hAnsi="仿宋_GB2312" w:eastAsia="仿宋_GB2312" w:cs="仿宋_GB2312"/>
          <w:b w:val="0"/>
          <w:bCs w:val="0"/>
          <w:kern w:val="2"/>
          <w:sz w:val="32"/>
          <w:szCs w:val="32"/>
          <w:lang w:val="en-US" w:eastAsia="zh-CN" w:bidi="ar-SA"/>
        </w:rPr>
        <w:t>及运营的一部墙面</w:t>
      </w:r>
      <w:r>
        <w:rPr>
          <w:rFonts w:hint="eastAsia" w:ascii="仿宋_GB2312" w:hAnsi="仿宋_GB2312" w:eastAsia="仿宋_GB2312" w:cs="仿宋_GB2312"/>
          <w:b w:val="0"/>
          <w:bCs w:val="0"/>
          <w:kern w:val="2"/>
          <w:sz w:val="32"/>
          <w:szCs w:val="32"/>
          <w:lang w:val="en-US" w:eastAsia="zh-Hans" w:bidi="ar-SA"/>
        </w:rPr>
        <w:t>音乐</w:t>
      </w:r>
      <w:r>
        <w:rPr>
          <w:rFonts w:hint="eastAsia" w:ascii="仿宋_GB2312" w:hAnsi="仿宋_GB2312" w:eastAsia="仿宋_GB2312" w:cs="仿宋_GB2312"/>
          <w:b w:val="0"/>
          <w:bCs w:val="0"/>
          <w:kern w:val="2"/>
          <w:sz w:val="32"/>
          <w:szCs w:val="32"/>
          <w:lang w:val="en-US" w:eastAsia="zh-CN" w:bidi="ar-SA"/>
        </w:rPr>
        <w:t>演出项目。</w:t>
      </w:r>
      <w:r>
        <w:rPr>
          <w:rFonts w:hint="eastAsia" w:ascii="仿宋_GB2312" w:hAnsi="仿宋_GB2312" w:eastAsia="仿宋_GB2312" w:cs="仿宋_GB2312"/>
          <w:b w:val="0"/>
          <w:bCs w:val="0"/>
          <w:kern w:val="2"/>
          <w:sz w:val="32"/>
          <w:szCs w:val="32"/>
          <w:lang w:val="en-US" w:eastAsia="zh-Hans" w:bidi="ar-SA"/>
        </w:rPr>
        <w:t>该</w:t>
      </w:r>
      <w:r>
        <w:rPr>
          <w:rFonts w:hint="eastAsia" w:ascii="仿宋_GB2312" w:hAnsi="仿宋_GB2312" w:eastAsia="仿宋_GB2312" w:cs="仿宋_GB2312"/>
          <w:b w:val="0"/>
          <w:bCs w:val="0"/>
          <w:kern w:val="2"/>
          <w:sz w:val="32"/>
          <w:szCs w:val="32"/>
          <w:lang w:val="en-US" w:eastAsia="zh-CN" w:bidi="ar-SA"/>
        </w:rPr>
        <w:t>项目位于成都</w:t>
      </w:r>
      <w:r>
        <w:rPr>
          <w:rFonts w:hint="eastAsia" w:ascii="仿宋_GB2312" w:hAnsi="仿宋_GB2312" w:eastAsia="仿宋_GB2312" w:cs="仿宋_GB2312"/>
          <w:b w:val="0"/>
          <w:bCs w:val="0"/>
          <w:kern w:val="2"/>
          <w:sz w:val="32"/>
          <w:szCs w:val="32"/>
          <w:lang w:val="en-US" w:eastAsia="zh-Hans" w:bidi="ar-SA"/>
        </w:rPr>
        <w:t>市</w:t>
      </w:r>
      <w:r>
        <w:rPr>
          <w:rFonts w:hint="eastAsia" w:ascii="仿宋_GB2312" w:hAnsi="仿宋_GB2312" w:eastAsia="仿宋_GB2312" w:cs="仿宋_GB2312"/>
          <w:b w:val="0"/>
          <w:bCs w:val="0"/>
          <w:kern w:val="2"/>
          <w:sz w:val="32"/>
          <w:szCs w:val="32"/>
          <w:lang w:val="en-US" w:eastAsia="zh-CN" w:bidi="ar-SA"/>
        </w:rPr>
        <w:t>武侯区音乐坊，由著名导演李伯男和国家一级舞美设计张武教授联合创作，以著名音乐人赵雷的原创歌曲《成都》为灵感，“蓉漂”为主题展开，讲述一幕幕发生在成都的生活趣事，在不同场景和角色的演绎下，突出鲜明的成都感，体现成都民俗，市井，饮食</w:t>
      </w:r>
      <w:r>
        <w:rPr>
          <w:rFonts w:hint="eastAsia" w:ascii="仿宋_GB2312" w:hAnsi="仿宋_GB2312" w:eastAsia="仿宋_GB2312" w:cs="仿宋_GB2312"/>
          <w:b w:val="0"/>
          <w:bCs w:val="0"/>
          <w:kern w:val="2"/>
          <w:sz w:val="32"/>
          <w:szCs w:val="32"/>
          <w:lang w:val="en-US" w:eastAsia="zh-Hans" w:bidi="ar-SA"/>
        </w:rPr>
        <w:t>及城市人文</w:t>
      </w:r>
      <w:r>
        <w:rPr>
          <w:rFonts w:hint="eastAsia" w:ascii="仿宋_GB2312" w:hAnsi="仿宋_GB2312" w:eastAsia="仿宋_GB2312" w:cs="仿宋_GB2312"/>
          <w:b w:val="0"/>
          <w:bCs w:val="0"/>
          <w:kern w:val="2"/>
          <w:sz w:val="32"/>
          <w:szCs w:val="32"/>
          <w:lang w:val="en-US" w:eastAsia="zh-CN" w:bidi="ar-SA"/>
        </w:rPr>
        <w:t>精神特征。项目首创的墙面戏剧将舞台搬到了墙面，打破了传统戏剧镜框式舞台</w:t>
      </w:r>
      <w:r>
        <w:rPr>
          <w:rFonts w:hint="eastAsia" w:ascii="仿宋_GB2312" w:hAnsi="仿宋_GB2312" w:eastAsia="仿宋_GB2312" w:cs="仿宋_GB2312"/>
          <w:b w:val="0"/>
          <w:bCs w:val="0"/>
          <w:kern w:val="2"/>
          <w:sz w:val="32"/>
          <w:szCs w:val="32"/>
          <w:lang w:val="en-US" w:eastAsia="zh-Hans" w:bidi="ar-SA"/>
        </w:rPr>
        <w:t>的演绎方式</w:t>
      </w:r>
      <w:r>
        <w:rPr>
          <w:rFonts w:hint="eastAsia" w:ascii="仿宋_GB2312" w:hAnsi="仿宋_GB2312" w:eastAsia="仿宋_GB2312" w:cs="仿宋_GB2312"/>
          <w:b w:val="0"/>
          <w:bCs w:val="0"/>
          <w:kern w:val="2"/>
          <w:sz w:val="32"/>
          <w:szCs w:val="32"/>
          <w:lang w:val="en-US" w:eastAsia="zh-CN" w:bidi="ar-SA"/>
        </w:rPr>
        <w:t>，对演出形式和观演关系是一次创新性</w:t>
      </w:r>
      <w:r>
        <w:rPr>
          <w:rFonts w:hint="eastAsia" w:ascii="仿宋_GB2312" w:hAnsi="仿宋_GB2312" w:eastAsia="仿宋_GB2312" w:cs="仿宋_GB2312"/>
          <w:b w:val="0"/>
          <w:bCs w:val="0"/>
          <w:kern w:val="2"/>
          <w:sz w:val="32"/>
          <w:szCs w:val="32"/>
          <w:lang w:val="en-US" w:eastAsia="zh-Hans" w:bidi="ar-SA"/>
        </w:rPr>
        <w:t>的</w:t>
      </w:r>
      <w:r>
        <w:rPr>
          <w:rFonts w:hint="eastAsia" w:ascii="仿宋_GB2312" w:hAnsi="仿宋_GB2312" w:eastAsia="仿宋_GB2312" w:cs="仿宋_GB2312"/>
          <w:b w:val="0"/>
          <w:bCs w:val="0"/>
          <w:kern w:val="2"/>
          <w:sz w:val="32"/>
          <w:szCs w:val="32"/>
          <w:lang w:val="en-US" w:eastAsia="zh-CN" w:bidi="ar-SA"/>
        </w:rPr>
        <w:t>升级，同时把平时不易看到的演出后台搬到了临街外立面，演员在开放式外景舞台表演的同时吸引临街消费者，</w:t>
      </w:r>
      <w:r>
        <w:rPr>
          <w:rFonts w:hint="eastAsia" w:ascii="仿宋_GB2312" w:hAnsi="仿宋_GB2312" w:eastAsia="仿宋_GB2312" w:cs="仿宋_GB2312"/>
          <w:b w:val="0"/>
          <w:bCs w:val="0"/>
          <w:kern w:val="2"/>
          <w:sz w:val="32"/>
          <w:szCs w:val="32"/>
          <w:lang w:val="en-US" w:eastAsia="zh-Hans" w:bidi="ar-SA"/>
        </w:rPr>
        <w:t>这不仅迎合</w:t>
      </w:r>
      <w:r>
        <w:rPr>
          <w:rFonts w:hint="eastAsia" w:ascii="仿宋_GB2312" w:hAnsi="仿宋_GB2312" w:eastAsia="仿宋_GB2312" w:cs="仿宋_GB2312"/>
          <w:b w:val="0"/>
          <w:bCs w:val="0"/>
          <w:kern w:val="2"/>
          <w:sz w:val="32"/>
          <w:szCs w:val="32"/>
          <w:lang w:val="en-US" w:eastAsia="zh-CN" w:bidi="ar-SA"/>
        </w:rPr>
        <w:t>时尚</w:t>
      </w:r>
      <w:r>
        <w:rPr>
          <w:rFonts w:hint="eastAsia" w:ascii="仿宋_GB2312" w:hAnsi="仿宋_GB2312" w:eastAsia="仿宋_GB2312" w:cs="仿宋_GB2312"/>
          <w:b w:val="0"/>
          <w:bCs w:val="0"/>
          <w:kern w:val="2"/>
          <w:sz w:val="32"/>
          <w:szCs w:val="32"/>
          <w:lang w:val="en-US" w:eastAsia="zh-Hans" w:bidi="ar-SA"/>
        </w:rPr>
        <w:t>新潮的</w:t>
      </w:r>
      <w:r>
        <w:rPr>
          <w:rFonts w:hint="eastAsia" w:ascii="仿宋_GB2312" w:hAnsi="仿宋_GB2312" w:eastAsia="仿宋_GB2312" w:cs="仿宋_GB2312"/>
          <w:b w:val="0"/>
          <w:bCs w:val="0"/>
          <w:kern w:val="2"/>
          <w:sz w:val="32"/>
          <w:szCs w:val="32"/>
          <w:lang w:val="en-US" w:eastAsia="zh-CN" w:bidi="ar-SA"/>
        </w:rPr>
        <w:t>消费特质，</w:t>
      </w:r>
      <w:r>
        <w:rPr>
          <w:rFonts w:hint="eastAsia" w:ascii="仿宋_GB2312" w:hAnsi="仿宋_GB2312" w:eastAsia="仿宋_GB2312" w:cs="仿宋_GB2312"/>
          <w:b w:val="0"/>
          <w:bCs w:val="0"/>
          <w:kern w:val="2"/>
          <w:sz w:val="32"/>
          <w:szCs w:val="32"/>
          <w:lang w:val="en-US" w:eastAsia="zh-Hans" w:bidi="ar-SA"/>
        </w:rPr>
        <w:t>并且</w:t>
      </w:r>
      <w:r>
        <w:rPr>
          <w:rFonts w:hint="eastAsia" w:ascii="仿宋_GB2312" w:hAnsi="仿宋_GB2312" w:eastAsia="仿宋_GB2312" w:cs="仿宋_GB2312"/>
          <w:b w:val="0"/>
          <w:bCs w:val="0"/>
          <w:kern w:val="2"/>
          <w:sz w:val="32"/>
          <w:szCs w:val="32"/>
          <w:lang w:val="en-US" w:eastAsia="zh-CN" w:bidi="ar-SA"/>
        </w:rPr>
        <w:t>赋予音乐文化</w:t>
      </w:r>
      <w:r>
        <w:rPr>
          <w:rFonts w:hint="eastAsia" w:ascii="仿宋_GB2312" w:hAnsi="仿宋_GB2312" w:eastAsia="仿宋_GB2312" w:cs="仿宋_GB2312"/>
          <w:b w:val="0"/>
          <w:bCs w:val="0"/>
          <w:kern w:val="2"/>
          <w:sz w:val="32"/>
          <w:szCs w:val="32"/>
          <w:lang w:val="en-US" w:eastAsia="zh-Hans" w:bidi="ar-SA"/>
        </w:rPr>
        <w:t>新的</w:t>
      </w:r>
      <w:r>
        <w:rPr>
          <w:rFonts w:hint="eastAsia" w:ascii="仿宋_GB2312" w:hAnsi="仿宋_GB2312" w:eastAsia="仿宋_GB2312" w:cs="仿宋_GB2312"/>
          <w:b w:val="0"/>
          <w:bCs w:val="0"/>
          <w:kern w:val="2"/>
          <w:sz w:val="32"/>
          <w:szCs w:val="32"/>
          <w:lang w:val="en-US" w:eastAsia="zh-CN" w:bidi="ar-SA"/>
        </w:rPr>
        <w:t>消费内涵。目前</w:t>
      </w:r>
      <w:r>
        <w:rPr>
          <w:rFonts w:hint="eastAsia" w:ascii="仿宋_GB2312" w:hAnsi="仿宋_GB2312" w:eastAsia="仿宋_GB2312" w:cs="仿宋_GB2312"/>
          <w:b w:val="0"/>
          <w:bCs w:val="0"/>
          <w:kern w:val="2"/>
          <w:sz w:val="32"/>
          <w:szCs w:val="32"/>
          <w:lang w:val="en-US" w:eastAsia="zh-Hans" w:bidi="ar-SA"/>
        </w:rPr>
        <w:t>该</w:t>
      </w:r>
      <w:r>
        <w:rPr>
          <w:rFonts w:hint="eastAsia" w:ascii="仿宋_GB2312" w:hAnsi="仿宋_GB2312" w:eastAsia="仿宋_GB2312" w:cs="仿宋_GB2312"/>
          <w:b w:val="0"/>
          <w:bCs w:val="0"/>
          <w:kern w:val="2"/>
          <w:sz w:val="32"/>
          <w:szCs w:val="32"/>
          <w:lang w:val="en-US" w:eastAsia="zh-CN" w:bidi="ar-SA"/>
        </w:rPr>
        <w:t>项目已被评为成都市重点文旅项目，并获得第31届世界大学生夏季运动会指定主题音乐戏剧授权，以“大运主题音乐戏剧”的身份优先推荐进入大运遗产名录。</w:t>
      </w:r>
    </w:p>
    <w:p>
      <w:pPr>
        <w:widowControl w:val="0"/>
        <w:numPr>
          <w:ilvl w:val="0"/>
          <w:numId w:val="9"/>
        </w:numPr>
        <w:ind w:left="0" w:leftChars="0" w:firstLine="643" w:firstLineChars="20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《花重锦官城》</w:t>
      </w:r>
    </w:p>
    <w:p>
      <w:pPr>
        <w:pStyle w:val="21"/>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kern w:val="2"/>
          <w:sz w:val="32"/>
          <w:szCs w:val="32"/>
          <w:lang w:val="en-US" w:eastAsia="zh-CN" w:bidi="ar-SA"/>
        </w:rPr>
        <w:t>《花重锦官城》赛博国潮秀以“一场电子竞技游戏”的新颖设定来搭建整个剧目结构，演出共分为安逸成都、文明成都、包容成都、进取成都四个篇章，观众既是观看者也是参与者，跟随主角经历四个篇章中的各项“游戏挑战”，成都各时期的高光时刻、历史名人、非遗经典以及当代成都的进取发展、娱乐精神等都将有所展现，开创了城市演出对城市文化的全新展现方式，也为成都这座城市赋予了全新的艺术魅力。</w:t>
      </w:r>
    </w:p>
    <w:p>
      <w:pPr>
        <w:numPr>
          <w:ilvl w:val="0"/>
          <w:numId w:val="0"/>
        </w:numPr>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四、四川省旅游演艺面临的问题</w:t>
      </w:r>
    </w:p>
    <w:p>
      <w:pPr>
        <w:pStyle w:val="12"/>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0" w:beforeAutospacing="0" w:after="0" w:afterAutospacing="0" w:line="240" w:lineRule="auto"/>
        <w:ind w:firstLine="643" w:firstLineChars="200"/>
        <w:textAlignment w:val="auto"/>
        <w:rPr>
          <w:rFonts w:hint="default"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（一）疫情影响仍在继续</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2021年，四川全省实现国内旅游收入7352.76亿元。四川全省地方接待国内旅游人数48395.58万人次。对比2020年，2021年四川全省国内旅游收入同比增长11.25%，接待国内旅游人数同比增长19.28%，但两项数据仍仅为2019年的63%-64%。全省主要旅游演艺项目经营收入较疫情前的2019年下降25%-80%不等，</w:t>
      </w:r>
      <w:r>
        <w:rPr>
          <w:rFonts w:hint="eastAsia" w:ascii="仿宋_GB2312" w:hAnsi="仿宋_GB2312" w:eastAsia="仿宋_GB2312" w:cs="仿宋_GB2312"/>
          <w:b w:val="0"/>
          <w:i w:val="0"/>
          <w:caps w:val="0"/>
          <w:color w:val="222222"/>
          <w:spacing w:val="0"/>
          <w:sz w:val="32"/>
          <w:szCs w:val="32"/>
          <w:u w:val="none"/>
          <w:lang w:val="en-US" w:eastAsia="zh-Hans"/>
        </w:rPr>
        <w:t>《道解都江堰》《圣象峨眉》《川·乐安仁》《李白归来》等</w:t>
      </w:r>
      <w:r>
        <w:rPr>
          <w:rFonts w:hint="eastAsia" w:ascii="仿宋_GB2312" w:hAnsi="仿宋_GB2312" w:eastAsia="仿宋_GB2312" w:cs="仿宋_GB2312"/>
          <w:b w:val="0"/>
          <w:i w:val="0"/>
          <w:caps w:val="0"/>
          <w:color w:val="222222"/>
          <w:spacing w:val="0"/>
          <w:sz w:val="32"/>
          <w:szCs w:val="32"/>
          <w:u w:val="none"/>
          <w:lang w:val="en-US" w:eastAsia="zh-CN"/>
        </w:rPr>
        <w:t>演艺项目</w:t>
      </w:r>
      <w:r>
        <w:rPr>
          <w:rFonts w:hint="eastAsia" w:ascii="仿宋_GB2312" w:hAnsi="仿宋_GB2312" w:eastAsia="仿宋_GB2312" w:cs="仿宋_GB2312"/>
          <w:b w:val="0"/>
          <w:i w:val="0"/>
          <w:caps w:val="0"/>
          <w:color w:val="222222"/>
          <w:spacing w:val="0"/>
          <w:sz w:val="32"/>
          <w:szCs w:val="32"/>
          <w:u w:val="none"/>
          <w:lang w:val="en-US" w:eastAsia="zh-Hans"/>
        </w:rPr>
        <w:t>在疫情发生后一直暂停对外商业演出</w:t>
      </w:r>
      <w:r>
        <w:rPr>
          <w:rFonts w:hint="eastAsia" w:ascii="仿宋_GB2312" w:hAnsi="仿宋_GB2312" w:eastAsia="仿宋_GB2312" w:cs="仿宋_GB2312"/>
          <w:b w:val="0"/>
          <w:bCs w:val="0"/>
          <w:kern w:val="2"/>
          <w:sz w:val="32"/>
          <w:szCs w:val="32"/>
          <w:lang w:val="en-US" w:eastAsia="zh-CN" w:bidi="ar-SA"/>
        </w:rPr>
        <w:t>。旅游演艺是空间聚集性、人员密集型的产业，疫情对旅游业的影响和冲击具有范围广、程度深、周期长的特点。疫情反复持续时间长达3年，众多行业遭受巨大冲击，依赖客源的旅游演艺也身受其中，旅游演艺项目很大程度是依托客源构成,且主要来源于中远途客源,疫情使游客无法现场观演,进而导致旅游演艺项目停滞。在未来相当长的一个阶段，要做好疫情防控和旅游演艺恢复性发展双统筹双促进，面临的困难依然多，压力依然大。</w:t>
      </w: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（二）项目知名度不高，影响力不强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疫情条件下，出入境旅游市场基本封闭，旅游演艺市场基本是国内单循环，省际间、地区间旅游市场竞争加剧。要想实现竞争取胜，主要依靠项目品牌、产品质量、服务保障、市场影响力等因素。但我省至今没有一个影响力大、票房号召力强的旅游演艺知名IP，没有像《又见平遥》《只有河南·戏剧幻城》和西安《长恨歌》那样，观众为了专门看旅游演艺项目而到景区景点旅游的知名项目。由于我省旅游演艺项目知名度不高，对游客观演的吸引力不强，导致我省一半以上旅游演艺项目票房收益不高。另外，对一些不是地处峨眉山、九寨沟这样世界知名、游客四季都多的旅游景区的旅游演艺项目，更需要加大宣传，扩大知名度、美誉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textAlignment w:val="auto"/>
        <w:rPr>
          <w:rFonts w:hint="default"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（三）运营机制不健全，营销手段单一</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尽管当前的旅游市场已经是以散客为主，但我省的旅游演艺经营依然是依赖旅行社的捆绑销售，客源主要是团队游客，此种方式虽然给演艺项目带来了丰富且稳定的客流，但同时也产生了“同票不同价”“门票返佣”等乱象；与此同时，旅游演艺的运营机制不健全，没有建立起多元化、系统化、科学化的营销策略，个别大投资演艺项目受众范围相对较窄，且宣传力度不够，没有做到综合运用旅行社线路、强势媒体广告投放、节庆活动、热门影视综艺、新媒体营销等多种手段，大幅度提高旅游演艺项目的知名度与认可度。</w:t>
      </w:r>
    </w:p>
    <w:p>
      <w:pPr>
        <w:pStyle w:val="2"/>
        <w:ind w:firstLine="643" w:firstLineChars="200"/>
        <w:rPr>
          <w:rFonts w:hint="default"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（四）传统旅游演艺尚需转型升级，以适应科技创新的飞速发展</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G、大数据、云计算等科学技术颠覆了传统的文旅发展方式，文旅行业正在加速拥抱线上化和智慧化。在智慧文旅时代，旅游演艺产业必将运用更多新技术、新模式，涌现更多新业态、新产品。在这种背景下，不少文旅人存在知识恐慌、能力恐慌，对文旅产业认知程度偏低，许多人的思维停留在‘旅游’层面，对“文化＋旅游”的融合认知不足。化解市场难题、开拓发展新思路、推动文化和旅游产业高质量发展，成为各地创新实践所急需解决的新需求。旅游演艺从业者必须转变观念，打破惯性思维，不断学习创新，在能力、素质、眼界、思路等方面与时俱进，才能推动旅游</w:t>
      </w:r>
      <w:r>
        <w:rPr>
          <w:rFonts w:hint="default" w:ascii="仿宋_GB2312" w:hAnsi="仿宋_GB2312" w:eastAsia="仿宋_GB2312" w:cs="仿宋_GB2312"/>
          <w:b w:val="0"/>
          <w:bCs w:val="0"/>
          <w:kern w:val="2"/>
          <w:sz w:val="32"/>
          <w:szCs w:val="32"/>
          <w:lang w:val="en-US" w:eastAsia="zh-CN" w:bidi="ar-SA"/>
        </w:rPr>
        <w:t>演艺在科技创新、管理创新方面进行深度提升创新。</w:t>
      </w:r>
    </w:p>
    <w:p>
      <w:pPr>
        <w:numPr>
          <w:ilvl w:val="0"/>
          <w:numId w:val="0"/>
        </w:numPr>
        <w:ind w:firstLine="640" w:firstLineChars="200"/>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五、四川省旅游演艺的发展趋势</w:t>
      </w:r>
    </w:p>
    <w:p>
      <w:pPr>
        <w:numPr>
          <w:ilvl w:val="0"/>
          <w:numId w:val="0"/>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（一）四川省旅游演艺的优势条件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1. 文旅政策</w:t>
      </w:r>
      <w:r>
        <w:rPr>
          <w:rFonts w:hint="eastAsia" w:ascii="仿宋_GB2312" w:hAnsi="仿宋_GB2312" w:eastAsia="仿宋_GB2312" w:cs="仿宋_GB2312"/>
          <w:b/>
          <w:sz w:val="32"/>
          <w:szCs w:val="32"/>
        </w:rPr>
        <w:t>高度</w:t>
      </w:r>
      <w:r>
        <w:rPr>
          <w:rFonts w:hint="eastAsia" w:ascii="仿宋_GB2312" w:hAnsi="仿宋_GB2312" w:eastAsia="仿宋_GB2312" w:cs="仿宋_GB2312"/>
          <w:b/>
          <w:sz w:val="32"/>
          <w:szCs w:val="32"/>
          <w:lang w:val="en-US" w:eastAsia="zh-CN"/>
        </w:rPr>
        <w:t>扶持</w:t>
      </w:r>
    </w:p>
    <w:p>
      <w:pPr>
        <w:pStyle w:val="2"/>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贯彻落实省委省政府《关于大力发展文旅经济加快建设文化强省旅游强省的意见》精神，持续打造“天府三九大·安逸走四川”金字招牌，促进文化旅游深度融合高质量发展，2021年1月，四川省人民政府制定印发了《四川省“十大”文化旅游品牌建设方案》，旨在打造世界级文化旅游品牌，构建多层级、宽领域、特色化、多样化的文旅品牌体系，推动巴蜀文化影响力、四川旅游吸引力、文旅产品供给力、文旅产业竞争力整体提升，促进文化强省、旅游强省和世界重要旅游目的地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12月15日，由四川省文化和旅游厅主办的2021四川省文旅产业新项目新场景新模式发布活动在成都举行。活动现场发布的《四川文旅产业新项目新场景新模式》一书中高度肯定了四川省文化和旅游重点项目，全省21个市州在建的文化和重点旅游项目424个，其中10亿元以上的项目233个，占项目总投资额的94.84%。2021年全年全省累计完成文化和旅游项目实际投资1405.51亿元，投资完成率达到103.31%。四川省文化和旅游厅相关负责人还表示下一步四川省仍将坚持以项目推进文化和旅游产业发展，开发符合市场新需求的创新性、体验性、互动性强的旅游项目，以高质量供给赢得市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textAlignment w:val="auto"/>
        <w:rPr>
          <w:rFonts w:hint="default" w:ascii="仿宋_GB2312" w:hAnsi="仿宋_GB2312" w:eastAsia="仿宋_GB2312" w:cs="仿宋_GB2312"/>
          <w:b/>
          <w:sz w:val="32"/>
          <w:szCs w:val="32"/>
          <w:lang w:val="en-US"/>
        </w:rPr>
      </w:pPr>
      <w:r>
        <w:rPr>
          <w:rFonts w:hint="eastAsia" w:ascii="仿宋_GB2312" w:hAnsi="仿宋_GB2312" w:eastAsia="仿宋_GB2312" w:cs="仿宋_GB2312"/>
          <w:b/>
          <w:sz w:val="32"/>
          <w:szCs w:val="32"/>
          <w:lang w:val="en-US" w:eastAsia="zh-CN"/>
        </w:rPr>
        <w:t>2. 文旅联盟共同发展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立于2019年11月6日的“大九寨”文旅发展联盟,始终秉承“共建、共融、共享、共赢”理念，截至2021年底，在两年的时间里依托“大九寨”文化旅游资源，成功创建了2个天府旅游名县，打造了31个国家、省、州（市）各级文旅品牌，推出了40余条精品旅游线路和1.5万余种文创产品，成功举办了各类大型赛事活动，创新拓展康养、红色等新兴业态，文旅、体旅、农旅、商旅等不断融合。依托联盟的力量，“登嘎甘㑇（熊猫舞）”情景歌舞剧应运而生并取得强烈反响，建成全国民族地区国家级演艺产业集群。同时，九寨千古情、印象九寨等演艺场所全面营业，高质量承办2021年全省文化和旅游发展大会、“青稞文学奖”颁奖典礼、第十五届州运会等盛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3. 旅游产业</w:t>
      </w:r>
      <w:r>
        <w:rPr>
          <w:rFonts w:hint="eastAsia" w:ascii="仿宋_GB2312" w:hAnsi="仿宋_GB2312" w:eastAsia="仿宋_GB2312" w:cs="仿宋_GB2312"/>
          <w:b/>
          <w:sz w:val="32"/>
          <w:szCs w:val="32"/>
        </w:rPr>
        <w:t>基础良好</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川是中国西南最具魅力的旅游省份之一，雄奇秀美的自然风光，悠久的历史和绚烂多彩的少数民族文化，构成了四川多样性的自然和文化旅游资源，为旅游演艺产业发展奠定了良好的基础。2018年，四川首次迈入旅游“万亿级”产业集群俱乐部</w:t>
      </w:r>
      <w:r>
        <w:rPr>
          <w:rFonts w:hint="eastAsia" w:ascii="仿宋_GB2312" w:hAnsi="仿宋_GB2312" w:eastAsia="仿宋_GB2312" w:cs="仿宋_GB2312"/>
          <w:sz w:val="32"/>
          <w:szCs w:val="32"/>
          <w:lang w:val="en-US" w:eastAsia="zh-CN"/>
        </w:rPr>
        <w:t>并稳步增长</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在受疫情影响的2021年，四川省接待游客人次和旅游收入仅为2019年的40%-50%，但截至2021年10月10日数据，据22个省份公布的国庆假期文旅数据来看，旅游收入排名第一的是四川省。我省</w:t>
      </w:r>
      <w:r>
        <w:rPr>
          <w:rFonts w:hint="eastAsia" w:ascii="仿宋_GB2312" w:hAnsi="仿宋_GB2312" w:eastAsia="仿宋_GB2312" w:cs="仿宋_GB2312"/>
          <w:sz w:val="32"/>
          <w:szCs w:val="32"/>
        </w:rPr>
        <w:t>旅游业的</w:t>
      </w:r>
      <w:r>
        <w:rPr>
          <w:rFonts w:hint="eastAsia" w:ascii="仿宋_GB2312" w:hAnsi="仿宋_GB2312" w:eastAsia="仿宋_GB2312" w:cs="仿宋_GB2312"/>
          <w:sz w:val="32"/>
          <w:szCs w:val="32"/>
          <w:lang w:val="en-US" w:eastAsia="zh-CN"/>
        </w:rPr>
        <w:t>稳定</w:t>
      </w:r>
      <w:r>
        <w:rPr>
          <w:rFonts w:hint="eastAsia" w:ascii="仿宋_GB2312" w:hAnsi="仿宋_GB2312" w:eastAsia="仿宋_GB2312" w:cs="仿宋_GB2312"/>
          <w:sz w:val="32"/>
          <w:szCs w:val="32"/>
        </w:rPr>
        <w:t>发展和大众休闲娱乐意识的增强, 使旅游演艺产品的市场需求迅速增长，为我省旅游演艺产业的发展带来了前所未有的发展机遇。</w:t>
      </w:r>
    </w:p>
    <w:p>
      <w:pPr>
        <w:pStyle w:val="2"/>
        <w:rPr>
          <w:rFonts w:hint="default" w:ascii="仿宋_GB2312" w:hAnsi="仿宋_GB2312" w:eastAsia="仿宋_GB2312" w:cs="仿宋_GB2312"/>
          <w:b/>
          <w:kern w:val="2"/>
          <w:sz w:val="32"/>
          <w:szCs w:val="32"/>
          <w:lang w:val="en-US" w:eastAsia="zh-CN" w:bidi="ar-SA"/>
        </w:rPr>
      </w:pPr>
      <w:r>
        <w:rPr>
          <w:rFonts w:hint="eastAsia" w:ascii="仿宋_GB2312" w:hAnsi="仿宋_GB2312" w:eastAsia="仿宋_GB2312" w:cs="仿宋_GB2312"/>
          <w:b/>
          <w:kern w:val="2"/>
          <w:sz w:val="32"/>
          <w:szCs w:val="32"/>
          <w:lang w:val="en-US" w:eastAsia="zh-CN" w:bidi="ar-SA"/>
        </w:rPr>
        <w:t xml:space="preserve">     4.沉浸式文旅抱团革新</w:t>
      </w:r>
    </w:p>
    <w:p>
      <w:pPr>
        <w:keepNext w:val="0"/>
        <w:keepLines w:val="0"/>
        <w:pageBreakBefore w:val="0"/>
        <w:widowControl w:val="0"/>
        <w:kinsoku/>
        <w:wordWrap/>
        <w:overflowPunct/>
        <w:topLinePunct w:val="0"/>
        <w:autoSpaceDE/>
        <w:autoSpaceDN/>
        <w:bidi w:val="0"/>
        <w:adjustRightInd/>
        <w:snapToGrid/>
        <w:spacing w:line="240" w:lineRule="auto"/>
        <w:ind w:firstLine="800" w:firstLineChars="25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为促进四川旅游演艺高质量发展，由</w:t>
      </w:r>
      <w:r>
        <w:rPr>
          <w:rFonts w:hint="default" w:ascii="仿宋_GB2312" w:hAnsi="仿宋_GB2312" w:eastAsia="仿宋_GB2312" w:cs="仿宋_GB2312"/>
          <w:sz w:val="32"/>
          <w:szCs w:val="32"/>
          <w:lang w:val="en-US" w:eastAsia="zh-CN"/>
        </w:rPr>
        <w:t>四川省旅游学校、成都市科技局、成都壹格加实业集团联合主办的“2021旅游演艺首届峰会暨专业发展研讨会”</w:t>
      </w:r>
      <w:r>
        <w:rPr>
          <w:rFonts w:hint="eastAsia" w:ascii="仿宋_GB2312" w:hAnsi="仿宋_GB2312" w:eastAsia="仿宋_GB2312" w:cs="仿宋_GB2312"/>
          <w:sz w:val="32"/>
          <w:szCs w:val="32"/>
          <w:lang w:val="en-US" w:eastAsia="zh-CN"/>
        </w:rPr>
        <w:t>于</w:t>
      </w:r>
      <w:r>
        <w:rPr>
          <w:rFonts w:hint="default" w:ascii="仿宋_GB2312" w:hAnsi="仿宋_GB2312" w:eastAsia="仿宋_GB2312" w:cs="仿宋_GB2312"/>
          <w:sz w:val="32"/>
          <w:szCs w:val="32"/>
          <w:lang w:val="en-US" w:eastAsia="zh-CN"/>
        </w:rPr>
        <w:t>2021年12月2</w:t>
      </w: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val="en-US" w:eastAsia="zh-CN"/>
        </w:rPr>
        <w:t>日-2</w:t>
      </w: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val="en-US" w:eastAsia="zh-CN"/>
        </w:rPr>
        <w:t>日在成都举行</w:t>
      </w:r>
      <w:r>
        <w:rPr>
          <w:rFonts w:hint="eastAsia" w:ascii="仿宋_GB2312" w:hAnsi="仿宋_GB2312" w:eastAsia="仿宋_GB2312" w:cs="仿宋_GB2312"/>
          <w:sz w:val="32"/>
          <w:szCs w:val="32"/>
          <w:lang w:val="en-US" w:eastAsia="zh-CN"/>
        </w:rPr>
        <w:t>。从事旅游演艺剧目开发、沉浸式旅游项目运营、宣传销售、行业研究等方面的文旅企业、演出公司、演艺制作公司、互联网旅游平台等旅游演艺产业链相关机构和专家围绕旅游演艺、沉浸式文旅演出项目进行战略定位、策划运营深度解读。会议上达成共识，沉浸式文旅将成为3.5亿新中产及Z世代消费新选择，让科技+沉浸式成为文旅破局重生之道。</w:t>
      </w:r>
    </w:p>
    <w:p>
      <w:pPr>
        <w:numPr>
          <w:ilvl w:val="0"/>
          <w:numId w:val="0"/>
        </w:numPr>
        <w:ind w:leftChars="0"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lang w:val="en-US" w:eastAsia="zh-CN"/>
        </w:rPr>
        <w:t>二）</w:t>
      </w:r>
      <w:r>
        <w:rPr>
          <w:rFonts w:hint="eastAsia" w:ascii="仿宋_GB2312" w:hAnsi="仿宋_GB2312" w:eastAsia="仿宋_GB2312" w:cs="仿宋_GB2312"/>
          <w:b/>
          <w:sz w:val="32"/>
          <w:szCs w:val="32"/>
        </w:rPr>
        <w:t>关于发展</w:t>
      </w:r>
      <w:r>
        <w:rPr>
          <w:rFonts w:hint="eastAsia" w:ascii="仿宋_GB2312" w:hAnsi="仿宋_GB2312" w:eastAsia="仿宋_GB2312" w:cs="仿宋_GB2312"/>
          <w:b/>
          <w:sz w:val="32"/>
          <w:szCs w:val="32"/>
          <w:lang w:val="en-US" w:eastAsia="zh-CN"/>
        </w:rPr>
        <w:t>四川</w:t>
      </w:r>
      <w:r>
        <w:rPr>
          <w:rFonts w:hint="eastAsia" w:ascii="仿宋_GB2312" w:hAnsi="仿宋_GB2312" w:eastAsia="仿宋_GB2312" w:cs="仿宋_GB2312"/>
          <w:b/>
          <w:sz w:val="32"/>
          <w:szCs w:val="32"/>
        </w:rPr>
        <w:t>省旅游演艺产业的思考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val="en-US" w:eastAsia="zh-CN"/>
        </w:rPr>
        <w:t xml:space="preserve">1. </w:t>
      </w:r>
      <w:r>
        <w:rPr>
          <w:rFonts w:hint="eastAsia" w:ascii="仿宋_GB2312" w:hAnsi="仿宋_GB2312" w:eastAsia="仿宋_GB2312" w:cs="仿宋_GB2312"/>
          <w:b/>
          <w:bCs/>
          <w:color w:val="000000"/>
          <w:sz w:val="32"/>
          <w:szCs w:val="32"/>
        </w:rPr>
        <w:t>树立品牌意识</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功的演艺产品的核心竞争力在于品牌化与规模化的高度统一。大规模、大手笔、品牌化的演艺项目与演出场地、制作班底、演员阵容与规模化的商业运作密切相关，尤其需要巨大的资金投入。因此在选择进行旅游演艺项目投资建设时首先必须考虑到客源基础是否足够稳定。在景区开发旅游演艺的过程中还要注意避免陷入旅游演艺产品开发“大制作，大手笔，大投入”的误区。没有投入，好景区不会自动生成。但打造一个成功景区，也不是投入钱越多就越好。如何确定投资额度，要用保守的营收预测来反推为好，不能用乐观的营收预测来决定投资强度。如果用乐观的营收预测来决定投资强度，那注定大笔的投资都会被用来交学费了。</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要了解年青一代消费者的需求。在体验场景设计、主题内容选择、空间氛围营造等方面更加贴近年轻人的需求;要借助大数据分析工具，了解他们的观演需求和偏好，从而打造出能真正打动年轻观演群体的旅游演艺作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val="en-US" w:eastAsia="zh-CN"/>
        </w:rPr>
        <w:t xml:space="preserve">2. </w:t>
      </w:r>
      <w:r>
        <w:rPr>
          <w:rFonts w:hint="eastAsia" w:ascii="仿宋_GB2312" w:hAnsi="仿宋_GB2312" w:eastAsia="仿宋_GB2312" w:cs="仿宋_GB2312"/>
          <w:b/>
          <w:bCs/>
          <w:color w:val="000000"/>
          <w:sz w:val="32"/>
          <w:szCs w:val="32"/>
        </w:rPr>
        <w:t>坚持因地制宜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进行旅游演艺规划时要因地制宜、精心测算、充分考虑到旅游的承载能力，打造适合当地特色与游客数量的旅游演艺产品。目前，一些知名旅游演艺企业已经开始向旅游演艺的下游领域延伸，向综合配套的业态转型，打造文化综合体和演艺小镇，在特色旅游小镇建设，应积极发展中心型、主体性、特色型的差异化旅游演艺项目，只有这样才能当地开发的旅游演艺项目得到健康的、可持续的发展。但在一些地方还存在盲目追求大规模，不管客源如何，好像只有引进大导演团队，搞大型规模化的旅游演艺项目就会扩大影响力、取得良好的经济效益的不切合实际的开发意识。</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旅游</w:t>
      </w:r>
      <w:r>
        <w:rPr>
          <w:rFonts w:hint="eastAsia" w:ascii="仿宋_GB2312" w:hAnsi="仿宋_GB2312" w:eastAsia="仿宋_GB2312" w:cs="仿宋_GB2312"/>
          <w:sz w:val="32"/>
          <w:szCs w:val="32"/>
          <w:lang w:val="en-US" w:eastAsia="zh-CN"/>
        </w:rPr>
        <w:t>演艺</w:t>
      </w:r>
      <w:r>
        <w:rPr>
          <w:rFonts w:hint="eastAsia" w:ascii="仿宋_GB2312" w:hAnsi="仿宋_GB2312" w:eastAsia="仿宋_GB2312" w:cs="仿宋_GB2312"/>
          <w:sz w:val="32"/>
          <w:szCs w:val="32"/>
        </w:rPr>
        <w:t>的受众群体广泛，可以结合实际制作一些投资少、剧场体量小、经营成本少的“小而精”“小而美”的室内演出作品。这类作品，不受天气和季节影响，可以进行全季，全时程的循环演出，在未来旅游市场和夜游经济中发挥较大的驱动作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val="en-US" w:eastAsia="zh-CN"/>
        </w:rPr>
        <w:t>3. 发掘项目</w:t>
      </w:r>
      <w:r>
        <w:rPr>
          <w:rFonts w:hint="eastAsia" w:ascii="仿宋_GB2312" w:hAnsi="仿宋_GB2312" w:eastAsia="仿宋_GB2312" w:cs="仿宋_GB2312"/>
          <w:b/>
          <w:bCs/>
          <w:color w:val="000000"/>
          <w:sz w:val="32"/>
          <w:szCs w:val="32"/>
        </w:rPr>
        <w:t>内涵</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sz w:val="32"/>
          <w:szCs w:val="32"/>
        </w:rPr>
        <w:t>巴蜀大地，有着独特的自然生态之美，多彩人文之韵。每一处古迹，都在讲述着穿越时空的故事，每一处风景，也都蕴藏着独属于这片土地和人民的文化因子。只有那些深掘当地文化，把经典的场面再现于舞台上，让观众产生共鸣和感动，才能形成独具魅力的文化影响力、特色鲜明的旅游吸引力。尽管科技发展使得旅游演艺项目外在的舞美声、光、电的更加炫目，但“技术的加法不等于艺术性的加法”。因此，要立足巴蜀文化的创造性转化、创新性发展，仔细梳理当地文脉，找到可以和现代产生结合和共鸣的内容，加以艺术化的表达，才能防止同质化和审美疲劳，才能向游客展示融文化性、艺术性、民族性、独特性于一体的视觉盛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val="en-US" w:eastAsia="zh-CN"/>
        </w:rPr>
        <w:t xml:space="preserve">4. </w:t>
      </w:r>
      <w:r>
        <w:rPr>
          <w:rFonts w:hint="eastAsia" w:ascii="仿宋_GB2312" w:hAnsi="仿宋_GB2312" w:eastAsia="仿宋_GB2312" w:cs="仿宋_GB2312"/>
          <w:b/>
          <w:bCs/>
          <w:color w:val="000000"/>
          <w:sz w:val="32"/>
          <w:szCs w:val="32"/>
        </w:rPr>
        <w:t>拓展发展空间</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推进旅游演艺项目的同时，要围绕旅游景区特色文化和主题，通过开发设计与旅游演艺相关的服务、工艺品等衍生品多领域、多渠道拓宽增长空间，形成独具魅力的文创产品。要将“演艺+旅游”和餐饮、文化、酒店、民宿、娱乐项目等相关产业联合起来，衍生出多元产业链，带动景区经济的增长。</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从国际经验看，一台成功的旅游</w:t>
      </w:r>
      <w:r>
        <w:rPr>
          <w:rFonts w:hint="eastAsia" w:ascii="仿宋_GB2312" w:hAnsi="仿宋_GB2312" w:eastAsia="仿宋_GB2312" w:cs="仿宋_GB2312"/>
          <w:sz w:val="32"/>
          <w:szCs w:val="32"/>
          <w:lang w:val="en-US" w:eastAsia="zh-CN"/>
        </w:rPr>
        <w:t>演艺剧目</w:t>
      </w:r>
      <w:r>
        <w:rPr>
          <w:rFonts w:hint="eastAsia" w:ascii="仿宋_GB2312" w:hAnsi="仿宋_GB2312" w:eastAsia="仿宋_GB2312" w:cs="仿宋_GB2312"/>
          <w:sz w:val="32"/>
          <w:szCs w:val="32"/>
        </w:rPr>
        <w:t>或一个良性的主题公园，收入应是“三足鼎立”，即门票收入、衍生品销售、IP授权各占三分之一。目前，我国的</w:t>
      </w:r>
      <w:r>
        <w:rPr>
          <w:rFonts w:hint="eastAsia" w:ascii="仿宋_GB2312" w:hAnsi="仿宋_GB2312" w:eastAsia="仿宋_GB2312" w:cs="仿宋_GB2312"/>
          <w:sz w:val="32"/>
          <w:szCs w:val="32"/>
          <w:lang w:val="en-US" w:eastAsia="zh-CN"/>
        </w:rPr>
        <w:t>旅游</w:t>
      </w:r>
      <w:r>
        <w:rPr>
          <w:rFonts w:hint="eastAsia" w:ascii="仿宋_GB2312" w:hAnsi="仿宋_GB2312" w:eastAsia="仿宋_GB2312" w:cs="仿宋_GB2312"/>
          <w:sz w:val="32"/>
          <w:szCs w:val="32"/>
        </w:rPr>
        <w:t>演艺产业也开始业务模式的突围和升级，较为成功的如：</w:t>
      </w:r>
      <w:r>
        <w:rPr>
          <w:rFonts w:hint="eastAsia" w:ascii="仿宋_GB2312" w:hAnsi="仿宋_GB2312" w:eastAsia="仿宋_GB2312" w:cs="仿宋_GB2312"/>
          <w:sz w:val="32"/>
          <w:szCs w:val="32"/>
          <w:lang w:val="en-US" w:eastAsia="zh-CN"/>
        </w:rPr>
        <w:t>福建</w:t>
      </w:r>
      <w:r>
        <w:rPr>
          <w:rFonts w:hint="eastAsia" w:ascii="仿宋_GB2312" w:hAnsi="仿宋_GB2312" w:eastAsia="仿宋_GB2312" w:cs="仿宋_GB2312"/>
          <w:sz w:val="32"/>
          <w:szCs w:val="32"/>
        </w:rPr>
        <w:t>省首个大型山水实景演出</w:t>
      </w:r>
      <w:r>
        <w:rPr>
          <w:rFonts w:hint="eastAsia" w:ascii="仿宋_GB2312" w:hAnsi="仿宋_GB2312" w:eastAsia="仿宋_GB2312" w:cs="仿宋_GB2312"/>
          <w:sz w:val="32"/>
          <w:szCs w:val="32"/>
          <w:lang w:val="en-US" w:eastAsia="zh-CN"/>
        </w:rPr>
        <w:t>《印象大红袍》巧妙地把自然景观、茶文化及民俗文化融入演出中,同时陆续开发衍生产品，打造了“印象大红袍”专属茶品牌，陆续推出影像制品、饮料、服饰、玩偶等多方面衍生产品，力求打造“印象大红袍”产业链的态势。</w:t>
      </w:r>
      <w:r>
        <w:rPr>
          <w:rFonts w:hint="eastAsia" w:ascii="仿宋_GB2312" w:hAnsi="仿宋_GB2312" w:eastAsia="仿宋_GB2312" w:cs="仿宋_GB2312"/>
          <w:sz w:val="32"/>
          <w:szCs w:val="32"/>
        </w:rPr>
        <w:t>“漂移式互动体验剧”《知音号》在武汉上演时，重新仿制了1891年的武汉老品牌“和利汽水”，高颜值的现代包装和柠檬海盐的独特口味，一经推出就大受旅游者欢迎。据悉，以此为思路，《知音号》不仅推出再现百年前演出场景的老汉口新民众乐园，复兴一部分老产业及老字号，同时将门票设计成复古船票，并提供自愿更换的“复古怀旧风”服装，从而实现“文化＋旅游”全产业链的增值。</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加强宣传促销</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旅游演艺产业要引起公众关注，必须进行有效宣传营销。要树立全媒体矩阵传播新思路，不断创新宣传营销推广模式，释放文旅融合旅游发展新效应，提升旅游演艺产品的影响力。通过加强与新媒体公司的合作宣传、加强与航空、铁路媒体的合作宣传、加强与影视媒体的合作宣传以及积极开展国际间、地区间合作宣传，不断提升旅游演艺产品知名度和影响力。</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“政府主导，市场运作，多元融资”</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方正小标宋简体" w:hAnsi="方正小标宋简体" w:eastAsia="方正小标宋简体" w:cs="方正小标宋简体"/>
          <w:b w:val="0"/>
          <w:bCs w:val="0"/>
          <w:color w:val="auto"/>
          <w:sz w:val="44"/>
          <w:szCs w:val="44"/>
        </w:rPr>
      </w:pPr>
      <w:r>
        <w:rPr>
          <w:rFonts w:hint="eastAsia" w:ascii="仿宋_GB2312" w:hAnsi="仿宋_GB2312" w:eastAsia="仿宋_GB2312" w:cs="仿宋_GB2312"/>
          <w:sz w:val="32"/>
          <w:szCs w:val="32"/>
        </w:rPr>
        <w:t>政府主导，就是在项目的制作前、制作中、制作后，政府始终都发挥着至关重要的作用。如政府拨款作为前期启动经费；批准创办民营性质的责任公司；提供良好政策环境和优质服务推动项目发展；项目公演后，大力向国内外媒体推介，扩大项目的知名度等等。在此基础上，要树立市场化运作意识。在投资主体上，既有国有企业，也有民营企业或个人。在投入形态上，既有资金、土地等有形资本的投入，又有创意、品牌、作品等无形资本的投入。在资金来源上，既有国家政策性扶持资金、民营企业投入股份资金、银行贷款，也有品牌的无形资产投资。</w:t>
      </w:r>
    </w:p>
    <w:p>
      <w:pPr>
        <w:rPr>
          <w:rFonts w:hint="eastAsia"/>
        </w:rPr>
      </w:pPr>
    </w:p>
    <w:p/>
    <w:p>
      <w:pPr>
        <w:rPr>
          <w:rFonts w:hint="eastAsia"/>
          <w:sz w:val="32"/>
          <w:szCs w:val="32"/>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bookmarkEnd w:id="48"/>
    <w:p>
      <w:pPr>
        <w:rPr>
          <w:rFonts w:hint="eastAsia"/>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p>
    <w:p>
      <w:pPr>
        <w:pStyle w:val="3"/>
        <w:spacing w:after="360" w:line="415"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第</w:t>
      </w:r>
      <w:r>
        <w:rPr>
          <w:rFonts w:hint="eastAsia" w:ascii="方正小标宋简体" w:hAnsi="方正小标宋简体" w:eastAsia="方正小标宋简体" w:cs="方正小标宋简体"/>
          <w:b w:val="0"/>
          <w:bCs w:val="0"/>
          <w:color w:val="auto"/>
          <w:sz w:val="44"/>
          <w:szCs w:val="44"/>
          <w:highlight w:val="none"/>
          <w:lang w:val="en-US" w:eastAsia="zh-CN"/>
        </w:rPr>
        <w:t>八</w:t>
      </w:r>
      <w:r>
        <w:rPr>
          <w:rFonts w:hint="eastAsia" w:ascii="方正小标宋简体" w:hAnsi="方正小标宋简体" w:eastAsia="方正小标宋简体" w:cs="方正小标宋简体"/>
          <w:b w:val="0"/>
          <w:bCs w:val="0"/>
          <w:color w:val="auto"/>
          <w:sz w:val="44"/>
          <w:szCs w:val="44"/>
          <w:highlight w:val="none"/>
        </w:rPr>
        <w:t xml:space="preserve">章 </w:t>
      </w:r>
      <w:r>
        <w:rPr>
          <w:rFonts w:hint="eastAsia" w:ascii="方正小标宋简体" w:hAnsi="方正小标宋简体" w:eastAsia="方正小标宋简体" w:cs="方正小标宋简体"/>
          <w:b w:val="0"/>
          <w:bCs w:val="0"/>
          <w:color w:val="auto"/>
          <w:sz w:val="44"/>
          <w:szCs w:val="44"/>
          <w:highlight w:val="none"/>
          <w:lang w:val="en-US" w:eastAsia="zh-CN"/>
        </w:rPr>
        <w:t>四川省</w:t>
      </w:r>
      <w:r>
        <w:rPr>
          <w:rFonts w:hint="eastAsia" w:ascii="方正小标宋简体" w:hAnsi="方正小标宋简体" w:eastAsia="方正小标宋简体" w:cs="方正小标宋简体"/>
          <w:b w:val="0"/>
          <w:bCs w:val="0"/>
          <w:color w:val="auto"/>
          <w:sz w:val="44"/>
          <w:szCs w:val="44"/>
          <w:highlight w:val="none"/>
        </w:rPr>
        <w:t>演出观众消费行为分析</w:t>
      </w:r>
    </w:p>
    <w:p>
      <w:pPr>
        <w:numPr>
          <w:ilvl w:val="0"/>
          <w:numId w:val="0"/>
        </w:numPr>
        <w:tabs>
          <w:tab w:val="left" w:pos="720"/>
        </w:tabs>
        <w:autoSpaceDE w:val="0"/>
        <w:autoSpaceDN w:val="0"/>
        <w:adjustRightInd w:val="0"/>
        <w:spacing w:before="156" w:beforeLines="50" w:after="156" w:afterLines="50"/>
        <w:ind w:firstLine="640" w:firstLineChars="200"/>
        <w:jc w:val="left"/>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一、四川省演出观众消费行为概述</w:t>
      </w:r>
      <w:bookmarkStart w:id="49" w:name="_Toc245558656"/>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观众消费行为与习惯：音乐会、演唱会和话剧是观看最多的类型，这与四川省大力发展音乐产业、成都市打造音乐之都密不可分。2021年大多数观众演出支出在600元以下；自费购票的比例为60.20%，可见演出市场中的赠票现象仍较为普遍，亟需规范市场秩序，提升营销手段，培育观众“买票看剧”的消费习惯。网络订票、售票窗口购票、电话订票是最主要的购票方式，其中，随着新技术的发展，网络订票所占比重将越来越大。</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消费需求：四川省观众最希望看到音乐会、话剧、舞剧等演出形式；兴趣和票价是影响是否观看演出的最重要的两个因素；大多数观众可接受的价格为400元以下，对明星版或品牌化演出可接受价格大幅提高。由此可见，打造高质量的明星话剧、IP舞剧等项目，有望在四川省演出市场吸引较多观众，获得较高票房。</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不同类型的演出观众的特征：女性是音乐会、歌舞类等演出形式的主要观众群体；话剧观众的高学历特征明显；儿童剧观众中家长带孩子观看演出的比例较高；川剧的中老年观众比例较大，男性是川剧的主要观众群体。近年来，年轻群体开始关注戏曲艺术，除越剧、京剧、昆曲、黄梅戏等受到大批年轻人热捧外，川剧也开始受到越来越多年轻观众的喜欢。川剧艺术应进一步顺应时代之变、大众之需，探索活化传承、创新发展的路径，吸引年轻观众主动选择观看川剧，助力川剧“火”出圈。</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观众对演出市场的评价：大多数的观众对演出活动比较满意；票价太高是最突出的问题，需要寻求盈利路径与观众合理承受范围之间的平衡，寻求产业长效健康发展与文化消费提质升级间的良性互动，需要相关行业、相关部门不断研究、持续探索；观众希望增加停车位和座位舒适度，并改善场馆配套设施和提高服务水平，需要演出场所经营者引起重视，为观众提供更高质量的服务。</w:t>
      </w:r>
    </w:p>
    <w:p>
      <w:pPr>
        <w:numPr>
          <w:ilvl w:val="0"/>
          <w:numId w:val="1"/>
        </w:numPr>
        <w:tabs>
          <w:tab w:val="left" w:pos="720"/>
        </w:tabs>
        <w:autoSpaceDE w:val="0"/>
        <w:autoSpaceDN w:val="0"/>
        <w:adjustRightInd w:val="0"/>
        <w:spacing w:before="156" w:beforeLines="50" w:after="156" w:afterLines="50"/>
        <w:ind w:left="0" w:leftChars="0" w:firstLine="640" w:firstLineChars="200"/>
        <w:jc w:val="left"/>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四川省</w:t>
      </w:r>
      <w:r>
        <w:rPr>
          <w:rFonts w:hint="eastAsia" w:ascii="黑体" w:hAnsi="黑体" w:eastAsia="黑体" w:cs="黑体"/>
          <w:b w:val="0"/>
          <w:bCs w:val="0"/>
          <w:color w:val="auto"/>
          <w:sz w:val="32"/>
          <w:szCs w:val="32"/>
          <w:highlight w:val="none"/>
        </w:rPr>
        <w:t>演出观众构成</w:t>
      </w:r>
      <w:bookmarkEnd w:id="49"/>
      <w:bookmarkStart w:id="50" w:name="_Toc245558657"/>
    </w:p>
    <w:p>
      <w:pPr>
        <w:numPr>
          <w:ilvl w:val="0"/>
          <w:numId w:val="0"/>
        </w:numPr>
        <w:tabs>
          <w:tab w:val="left" w:pos="720"/>
        </w:tabs>
        <w:autoSpaceDE w:val="0"/>
        <w:autoSpaceDN w:val="0"/>
        <w:adjustRightInd w:val="0"/>
        <w:spacing w:before="156" w:beforeLines="50" w:after="156" w:afterLines="50"/>
        <w:ind w:firstLine="643" w:firstLineChars="200"/>
        <w:jc w:val="left"/>
        <w:rPr>
          <w:rFonts w:hint="eastAsia" w:ascii="仿宋_GB2312" w:hAnsi="仿宋_GB2312" w:eastAsia="仿宋_GB2312" w:cs="仿宋_GB2312"/>
          <w:b/>
          <w:bCs/>
          <w:smallCaps/>
          <w:kern w:val="2"/>
          <w:sz w:val="32"/>
          <w:szCs w:val="32"/>
          <w:highlight w:val="none"/>
          <w:lang w:val="en-US" w:eastAsia="zh-CN" w:bidi="ar-SA"/>
        </w:rPr>
      </w:pPr>
      <w:r>
        <w:rPr>
          <w:rFonts w:hint="eastAsia" w:ascii="仿宋_GB2312" w:hAnsi="仿宋_GB2312" w:eastAsia="仿宋_GB2312" w:cs="仿宋_GB2312"/>
          <w:b/>
          <w:bCs/>
          <w:smallCaps/>
          <w:kern w:val="2"/>
          <w:sz w:val="32"/>
          <w:szCs w:val="32"/>
          <w:highlight w:val="none"/>
          <w:lang w:val="en-US" w:eastAsia="zh-CN" w:bidi="ar-SA"/>
        </w:rPr>
        <w:t>1.性别构成：女性比例高于男性</w:t>
      </w:r>
      <w:bookmarkEnd w:id="50"/>
    </w:p>
    <w:p>
      <w:pPr>
        <w:numPr>
          <w:ilvl w:val="0"/>
          <w:numId w:val="0"/>
        </w:numPr>
        <w:tabs>
          <w:tab w:val="left" w:pos="720"/>
        </w:tabs>
        <w:autoSpaceDE w:val="0"/>
        <w:autoSpaceDN w:val="0"/>
        <w:adjustRightInd w:val="0"/>
        <w:spacing w:before="156" w:beforeLines="50" w:after="156" w:afterLines="50"/>
        <w:ind w:firstLine="640" w:firstLineChars="200"/>
        <w:jc w:val="left"/>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rPr>
        <w:t>调查显示，</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演出观众中女性观众占据了</w:t>
      </w:r>
      <w:r>
        <w:rPr>
          <w:rFonts w:hint="eastAsia" w:ascii="仿宋_GB2312" w:hAnsi="仿宋_GB2312" w:eastAsia="仿宋_GB2312" w:cs="仿宋_GB2312"/>
          <w:b w:val="0"/>
          <w:bCs w:val="0"/>
          <w:sz w:val="32"/>
          <w:szCs w:val="32"/>
          <w:highlight w:val="none"/>
          <w:lang w:val="en-US" w:eastAsia="zh-CN"/>
        </w:rPr>
        <w:t>7</w:t>
      </w:r>
      <w:r>
        <w:rPr>
          <w:rFonts w:hint="eastAsia" w:ascii="仿宋_GB2312" w:hAnsi="仿宋_GB2312" w:eastAsia="仿宋_GB2312" w:cs="仿宋_GB2312"/>
          <w:b w:val="0"/>
          <w:bCs w:val="0"/>
          <w:sz w:val="32"/>
          <w:szCs w:val="32"/>
          <w:highlight w:val="none"/>
        </w:rPr>
        <w:t>0.2</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%，剔除抽样误差，我们大体可以判断女性是</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演出观众中的主要群体。</w:t>
      </w:r>
      <w:r>
        <w:rPr>
          <w:rFonts w:hint="eastAsia" w:ascii="仿宋_GB2312" w:hAnsi="仿宋_GB2312" w:eastAsia="仿宋_GB2312" w:cs="仿宋_GB2312"/>
          <w:b w:val="0"/>
          <w:bCs w:val="0"/>
          <w:sz w:val="32"/>
          <w:szCs w:val="32"/>
          <w:highlight w:val="none"/>
          <w:lang w:val="en-US" w:eastAsia="zh-CN"/>
        </w:rPr>
        <w:t>其中，</w:t>
      </w:r>
      <w:r>
        <w:rPr>
          <w:rFonts w:hint="eastAsia" w:ascii="仿宋_GB2312" w:hAnsi="仿宋_GB2312" w:eastAsia="仿宋_GB2312" w:cs="仿宋_GB2312"/>
          <w:b w:val="0"/>
          <w:bCs w:val="0"/>
          <w:sz w:val="32"/>
          <w:szCs w:val="32"/>
          <w:highlight w:val="none"/>
        </w:rPr>
        <w:t>在</w:t>
      </w:r>
      <w:r>
        <w:rPr>
          <w:rFonts w:hint="eastAsia" w:ascii="仿宋_GB2312" w:hAnsi="仿宋_GB2312" w:eastAsia="仿宋_GB2312" w:cs="仿宋_GB2312"/>
          <w:b w:val="0"/>
          <w:bCs w:val="0"/>
          <w:sz w:val="32"/>
          <w:szCs w:val="32"/>
          <w:highlight w:val="none"/>
          <w:lang w:eastAsia="zh-CN"/>
        </w:rPr>
        <w:t>川</w:t>
      </w:r>
      <w:r>
        <w:rPr>
          <w:rFonts w:hint="eastAsia" w:ascii="仿宋_GB2312" w:hAnsi="仿宋_GB2312" w:eastAsia="仿宋_GB2312" w:cs="仿宋_GB2312"/>
          <w:b w:val="0"/>
          <w:bCs w:val="0"/>
          <w:sz w:val="32"/>
          <w:szCs w:val="32"/>
          <w:highlight w:val="none"/>
        </w:rPr>
        <w:t>剧等演出类型的观众调查中，男性的比例要高于女性，但不影响我们对</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市总体演出市场观众构成的判断</w:t>
      </w:r>
      <w:r>
        <w:rPr>
          <w:rFonts w:hint="eastAsia" w:ascii="仿宋_GB2312" w:hAnsi="仿宋_GB2312" w:eastAsia="仿宋_GB2312" w:cs="仿宋_GB2312"/>
          <w:b w:val="0"/>
          <w:bCs w:val="0"/>
          <w:sz w:val="32"/>
          <w:szCs w:val="32"/>
          <w:highlight w:val="none"/>
          <w:lang w:eastAsia="zh-CN"/>
        </w:rPr>
        <w:t>。</w:t>
      </w:r>
    </w:p>
    <w:p>
      <w:pPr>
        <w:pStyle w:val="5"/>
        <w:ind w:firstLine="561" w:firstLineChars="200"/>
        <w:rPr>
          <w:rFonts w:hint="eastAsia" w:ascii="华文中宋" w:hAnsi="华文中宋" w:eastAsia="华文中宋"/>
          <w:highlight w:val="none"/>
        </w:rPr>
      </w:pPr>
      <w:r>
        <w:rPr>
          <w:highlight w:val="none"/>
        </w:rPr>
        <w:drawing>
          <wp:inline distT="0" distB="0" distL="114300" distR="114300">
            <wp:extent cx="4572000" cy="2743200"/>
            <wp:effectExtent l="4445" t="4445" r="14605" b="14605"/>
            <wp:docPr id="1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 xml:space="preserve">-1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演出观众性别构成</w:t>
      </w:r>
      <w:bookmarkStart w:id="51" w:name="_Toc245558658"/>
    </w:p>
    <w:p>
      <w:pPr>
        <w:pStyle w:val="18"/>
        <w:spacing w:after="156" w:afterLines="50"/>
        <w:ind w:left="419" w:hanging="62"/>
        <w:jc w:val="both"/>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2．年龄构成：年轻人是最大的观众群体</w:t>
      </w:r>
      <w:bookmarkEnd w:id="51"/>
    </w:p>
    <w:p>
      <w:pPr>
        <w:pStyle w:val="18"/>
        <w:spacing w:after="156" w:afterLines="50"/>
        <w:ind w:left="0" w:leftChars="0" w:firstLine="640" w:firstLineChars="200"/>
        <w:jc w:val="both"/>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在被调查的对象中，20-30岁之间的年轻人是比例最大的观众群体，占总数的42.4</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%，其次是31-40岁之间的人群，为25.8</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%。其余依次为41-50岁、51-60岁、60岁以上和20岁以下。</w:t>
      </w:r>
    </w:p>
    <w:p>
      <w:pPr>
        <w:jc w:val="center"/>
        <w:rPr>
          <w:rFonts w:hint="eastAsia" w:ascii="华文中宋" w:hAnsi="华文中宋" w:eastAsia="华文中宋"/>
          <w:highlight w:val="none"/>
        </w:rPr>
      </w:pPr>
      <w:r>
        <w:rPr>
          <w:rFonts w:ascii="华文中宋" w:hAnsi="华文中宋" w:eastAsia="华文中宋"/>
          <w:highlight w:val="none"/>
        </w:rPr>
        <w:object>
          <v:shape id="_x0000_i1026" o:spt="75" type="#_x0000_t75" style="height:176.8pt;width:302.8pt;" o:ole="t" filled="f" o:preferrelative="f" stroked="f" coordsize="21600,21600">
            <v:path/>
            <v:fill on="f" alignshape="1" focussize="0,0"/>
            <v:stroke on="f"/>
            <v:imagedata r:id="rId50" grayscale="f" bilevel="f" o:title=""/>
            <o:lock v:ext="edit" aspectratio="f"/>
            <w10:wrap type="none"/>
            <w10:anchorlock/>
          </v:shape>
          <o:OLEObject Type="Embed" ProgID="MSGraph.Chart.8" ShapeID="_x0000_i1026" DrawAspect="Content" ObjectID="_1468075727" r:id="rId49">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 xml:space="preserve">-2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演出观众年龄构成</w:t>
      </w:r>
    </w:p>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52" w:name="_Toc245558659"/>
      <w:r>
        <w:rPr>
          <w:rFonts w:hint="eastAsia" w:ascii="仿宋_GB2312" w:hAnsi="仿宋_GB2312" w:eastAsia="仿宋_GB2312" w:cs="仿宋_GB2312"/>
          <w:b/>
          <w:bCs/>
          <w:sz w:val="32"/>
          <w:szCs w:val="32"/>
          <w:highlight w:val="none"/>
        </w:rPr>
        <w:t>3．学历构成：本科以上学历占64.7</w:t>
      </w:r>
      <w:r>
        <w:rPr>
          <w:rFonts w:hint="eastAsia" w:ascii="仿宋_GB2312" w:hAnsi="仿宋_GB2312" w:eastAsia="仿宋_GB2312" w:cs="仿宋_GB2312"/>
          <w:b/>
          <w:bCs/>
          <w:sz w:val="32"/>
          <w:szCs w:val="32"/>
          <w:highlight w:val="none"/>
          <w:lang w:val="en-US" w:eastAsia="zh-CN"/>
        </w:rPr>
        <w:t>0</w:t>
      </w:r>
      <w:r>
        <w:rPr>
          <w:rFonts w:hint="eastAsia" w:ascii="仿宋_GB2312" w:hAnsi="仿宋_GB2312" w:eastAsia="仿宋_GB2312" w:cs="仿宋_GB2312"/>
          <w:b/>
          <w:bCs/>
          <w:sz w:val="32"/>
          <w:szCs w:val="32"/>
          <w:highlight w:val="none"/>
        </w:rPr>
        <w:t>%</w:t>
      </w:r>
      <w:bookmarkEnd w:id="52"/>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在被调查对象中，高学历人群占据了观众的主体。其中本科学历的观众占据了49.2</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%，硕士及以上的观众占据了15.5</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%。高中以下的观众仅占14.9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jc w:val="center"/>
        <w:rPr>
          <w:rFonts w:hint="eastAsia" w:ascii="华文中宋" w:hAnsi="华文中宋" w:eastAsia="华文中宋"/>
          <w:highlight w:val="none"/>
        </w:rPr>
      </w:pPr>
      <w:r>
        <w:rPr>
          <w:rFonts w:ascii="华文中宋" w:hAnsi="华文中宋" w:eastAsia="华文中宋"/>
          <w:highlight w:val="none"/>
        </w:rPr>
        <w:object>
          <v:shape id="_x0000_i1027" o:spt="75" type="#_x0000_t75" style="height:176.8pt;width:302.8pt;" o:ole="t" filled="f" o:preferrelative="f" stroked="f" coordsize="21600,21600">
            <v:path/>
            <v:fill on="f" alignshape="1" focussize="0,0"/>
            <v:stroke on="f"/>
            <v:imagedata r:id="rId52" grayscale="f" bilevel="f" o:title=""/>
            <o:lock v:ext="edit" aspectratio="f"/>
            <w10:wrap type="none"/>
            <w10:anchorlock/>
          </v:shape>
          <o:OLEObject Type="Embed" ProgID="MSGraph.Chart.8" ShapeID="_x0000_i1027" DrawAspect="Content" ObjectID="_1468075728" r:id="rId51">
            <o:LockedField>false</o:LockedField>
          </o:OLEObject>
        </w:object>
      </w:r>
    </w:p>
    <w:p>
      <w:pPr>
        <w:pStyle w:val="18"/>
        <w:spacing w:after="156" w:afterLines="50"/>
        <w:ind w:left="419" w:hanging="62"/>
        <w:jc w:val="center"/>
        <w:rPr>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 xml:space="preserve">-3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演出观众学历构成</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53" w:name="_Toc245558660"/>
      <w:r>
        <w:rPr>
          <w:rFonts w:hint="eastAsia" w:ascii="仿宋_GB2312" w:hAnsi="仿宋_GB2312" w:eastAsia="仿宋_GB2312" w:cs="仿宋_GB2312"/>
          <w:b/>
          <w:bCs/>
          <w:sz w:val="32"/>
          <w:szCs w:val="32"/>
          <w:highlight w:val="none"/>
        </w:rPr>
        <w:t>4．职业构成：企业</w:t>
      </w:r>
      <w:r>
        <w:rPr>
          <w:rFonts w:hint="eastAsia" w:ascii="仿宋_GB2312" w:hAnsi="仿宋_GB2312" w:eastAsia="仿宋_GB2312" w:cs="仿宋_GB2312"/>
          <w:b/>
          <w:bCs/>
          <w:sz w:val="32"/>
          <w:szCs w:val="32"/>
          <w:highlight w:val="none"/>
          <w:lang w:val="en-US" w:eastAsia="zh-CN"/>
        </w:rPr>
        <w:t>白领</w:t>
      </w:r>
      <w:r>
        <w:rPr>
          <w:rFonts w:hint="eastAsia" w:ascii="仿宋_GB2312" w:hAnsi="仿宋_GB2312" w:eastAsia="仿宋_GB2312" w:cs="仿宋_GB2312"/>
          <w:b/>
          <w:bCs/>
          <w:sz w:val="32"/>
          <w:szCs w:val="32"/>
          <w:highlight w:val="none"/>
        </w:rPr>
        <w:t>是最大的观众群体</w:t>
      </w:r>
      <w:bookmarkEnd w:id="53"/>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从职业构成来看，企业</w:t>
      </w:r>
      <w:r>
        <w:rPr>
          <w:rFonts w:hint="eastAsia" w:ascii="仿宋_GB2312" w:hAnsi="仿宋_GB2312" w:eastAsia="仿宋_GB2312" w:cs="仿宋_GB2312"/>
          <w:b w:val="0"/>
          <w:bCs w:val="0"/>
          <w:sz w:val="32"/>
          <w:szCs w:val="32"/>
          <w:highlight w:val="none"/>
          <w:lang w:val="en-US" w:eastAsia="zh-CN"/>
        </w:rPr>
        <w:t>白领</w:t>
      </w:r>
      <w:r>
        <w:rPr>
          <w:rFonts w:hint="eastAsia" w:ascii="仿宋_GB2312" w:hAnsi="仿宋_GB2312" w:eastAsia="仿宋_GB2312" w:cs="仿宋_GB2312"/>
          <w:b w:val="0"/>
          <w:bCs w:val="0"/>
          <w:sz w:val="32"/>
          <w:szCs w:val="32"/>
          <w:highlight w:val="none"/>
        </w:rPr>
        <w:t>是比例最大的观众群体，占总体的3</w:t>
      </w:r>
      <w:r>
        <w:rPr>
          <w:rFonts w:hint="eastAsia" w:ascii="仿宋_GB2312" w:hAnsi="仿宋_GB2312" w:eastAsia="仿宋_GB2312" w:cs="仿宋_GB2312"/>
          <w:b w:val="0"/>
          <w:bCs w:val="0"/>
          <w:sz w:val="32"/>
          <w:szCs w:val="32"/>
          <w:highlight w:val="none"/>
          <w:lang w:val="en-US" w:eastAsia="zh-CN"/>
        </w:rPr>
        <w:t>8.20</w:t>
      </w:r>
      <w:r>
        <w:rPr>
          <w:rFonts w:hint="eastAsia" w:ascii="仿宋_GB2312" w:hAnsi="仿宋_GB2312" w:eastAsia="仿宋_GB2312" w:cs="仿宋_GB2312"/>
          <w:b w:val="0"/>
          <w:bCs w:val="0"/>
          <w:sz w:val="32"/>
          <w:szCs w:val="32"/>
          <w:highlight w:val="none"/>
        </w:rPr>
        <w:t>%，其次政府机关/事业单位人员、学生、教师、</w:t>
      </w:r>
      <w:r>
        <w:rPr>
          <w:rFonts w:hint="eastAsia" w:ascii="仿宋_GB2312" w:hAnsi="仿宋_GB2312" w:eastAsia="仿宋_GB2312" w:cs="仿宋_GB2312"/>
          <w:b w:val="0"/>
          <w:bCs w:val="0"/>
          <w:sz w:val="32"/>
          <w:szCs w:val="32"/>
          <w:highlight w:val="none"/>
          <w:lang w:val="en-US" w:eastAsia="zh-CN"/>
        </w:rPr>
        <w:t>个体经营者</w:t>
      </w:r>
      <w:r>
        <w:rPr>
          <w:rFonts w:hint="eastAsia" w:ascii="仿宋_GB2312" w:hAnsi="仿宋_GB2312" w:eastAsia="仿宋_GB2312" w:cs="仿宋_GB2312"/>
          <w:b w:val="0"/>
          <w:bCs w:val="0"/>
          <w:sz w:val="32"/>
          <w:szCs w:val="32"/>
          <w:highlight w:val="none"/>
        </w:rPr>
        <w:t>等。</w:t>
      </w:r>
    </w:p>
    <w:p>
      <w:pPr>
        <w:pStyle w:val="9"/>
        <w:ind w:left="420" w:hanging="420"/>
        <w:jc w:val="center"/>
        <w:rPr>
          <w:rFonts w:hint="eastAsia" w:ascii="华文中宋" w:hAnsi="华文中宋" w:eastAsia="华文中宋"/>
          <w:highlight w:val="none"/>
        </w:rPr>
      </w:pPr>
      <w:r>
        <w:rPr>
          <w:highlight w:val="none"/>
        </w:rPr>
        <w:drawing>
          <wp:inline distT="0" distB="0" distL="114300" distR="114300">
            <wp:extent cx="4095750" cy="2458085"/>
            <wp:effectExtent l="4445" t="4445" r="14605" b="13970"/>
            <wp:docPr id="32" name="图表 1" descr="7b0a202020202263686172745265734964223a2022343532363834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 xml:space="preserve">-4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演出观众职业构成</w:t>
      </w:r>
      <w:bookmarkStart w:id="54" w:name="_Toc245558661"/>
    </w:p>
    <w:p>
      <w:pPr>
        <w:pStyle w:val="18"/>
        <w:spacing w:after="156" w:afterLines="50"/>
        <w:ind w:left="0" w:leftChars="0" w:firstLine="643" w:firstLineChars="200"/>
        <w:jc w:val="both"/>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5．收入构成：</w:t>
      </w:r>
      <w:r>
        <w:rPr>
          <w:rFonts w:hint="eastAsia" w:ascii="仿宋_GB2312" w:hAnsi="仿宋_GB2312" w:eastAsia="仿宋_GB2312" w:cs="仿宋_GB2312"/>
          <w:b/>
          <w:bCs/>
          <w:sz w:val="32"/>
          <w:szCs w:val="32"/>
          <w:highlight w:val="none"/>
          <w:lang w:val="en-US" w:eastAsia="zh-CN"/>
        </w:rPr>
        <w:t>每月可支配收入</w:t>
      </w:r>
      <w:r>
        <w:rPr>
          <w:rFonts w:hint="eastAsia" w:ascii="仿宋_GB2312" w:hAnsi="仿宋_GB2312" w:eastAsia="仿宋_GB2312" w:cs="仿宋_GB2312"/>
          <w:b/>
          <w:bCs/>
          <w:sz w:val="32"/>
          <w:szCs w:val="32"/>
          <w:highlight w:val="none"/>
        </w:rPr>
        <w:t>4000元以下收入群体占55.1</w:t>
      </w:r>
      <w:r>
        <w:rPr>
          <w:rFonts w:hint="eastAsia" w:ascii="仿宋_GB2312" w:hAnsi="仿宋_GB2312" w:eastAsia="仿宋_GB2312" w:cs="仿宋_GB2312"/>
          <w:b/>
          <w:bCs/>
          <w:sz w:val="32"/>
          <w:szCs w:val="32"/>
          <w:highlight w:val="none"/>
          <w:lang w:val="en-US" w:eastAsia="zh-CN"/>
        </w:rPr>
        <w:t>0</w:t>
      </w:r>
      <w:r>
        <w:rPr>
          <w:rFonts w:hint="eastAsia" w:ascii="仿宋_GB2312" w:hAnsi="仿宋_GB2312" w:eastAsia="仿宋_GB2312" w:cs="仿宋_GB2312"/>
          <w:b/>
          <w:bCs/>
          <w:sz w:val="32"/>
          <w:szCs w:val="32"/>
          <w:highlight w:val="none"/>
        </w:rPr>
        <w:t>%</w:t>
      </w:r>
      <w:bookmarkEnd w:id="54"/>
    </w:p>
    <w:p>
      <w:pPr>
        <w:pStyle w:val="18"/>
        <w:spacing w:after="156" w:afterLines="50"/>
        <w:ind w:left="0" w:leftChars="0" w:firstLine="640" w:firstLineChars="200"/>
        <w:jc w:val="both"/>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市观看演出的观众中，</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在4000元以下的观众占据了一半以上，可见，中低收入者仍是主要的演出观众群体。另外，</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在6000元以上的观众也占据了不小的比例，观众总体的23.3</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%。从后面的分析可以得知，音乐会、歌舞等类型的演出观众收入水平较高。</w:t>
      </w:r>
    </w:p>
    <w:p>
      <w:pPr>
        <w:jc w:val="center"/>
        <w:rPr>
          <w:rFonts w:hint="eastAsia" w:ascii="华文中宋" w:hAnsi="华文中宋" w:eastAsia="华文中宋"/>
          <w:highlight w:val="none"/>
        </w:rPr>
      </w:pPr>
      <w:r>
        <w:rPr>
          <w:rFonts w:ascii="华文中宋" w:hAnsi="华文中宋" w:eastAsia="华文中宋"/>
          <w:highlight w:val="none"/>
        </w:rPr>
        <w:object>
          <v:shape id="_x0000_i1028" o:spt="75" type="#_x0000_t75" style="height:151.3pt;width:274.1pt;" o:ole="t" filled="f" o:preferrelative="f" stroked="f" coordsize="21600,21600">
            <v:path/>
            <v:fill on="f" focussize="0,0"/>
            <v:stroke on="f"/>
            <v:imagedata r:id="rId55" o:title=""/>
            <o:lock v:ext="edit" aspectratio="f"/>
            <w10:wrap type="none"/>
            <w10:anchorlock/>
          </v:shape>
          <o:OLEObject Type="Embed" ProgID="MSGraph.Chart.8" ShapeID="_x0000_i1028" DrawAspect="Content" ObjectID="_1468075729" r:id="rId54">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 xml:space="preserve">-5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演出观众</w:t>
      </w:r>
      <w:r>
        <w:rPr>
          <w:rStyle w:val="19"/>
          <w:rFonts w:hint="eastAsia" w:ascii="华文中宋" w:hAnsi="华文中宋" w:eastAsia="华文中宋"/>
          <w:highlight w:val="none"/>
          <w:lang w:val="en-US" w:eastAsia="zh-CN"/>
        </w:rPr>
        <w:t>每月可支配</w:t>
      </w:r>
      <w:r>
        <w:rPr>
          <w:rStyle w:val="19"/>
          <w:rFonts w:hint="eastAsia" w:ascii="华文中宋" w:hAnsi="华文中宋" w:eastAsia="华文中宋"/>
          <w:highlight w:val="none"/>
        </w:rPr>
        <w:t>收入构成</w:t>
      </w:r>
      <w:bookmarkStart w:id="55" w:name="_Toc245558662"/>
    </w:p>
    <w:p>
      <w:pPr>
        <w:pStyle w:val="18"/>
        <w:numPr>
          <w:ilvl w:val="0"/>
          <w:numId w:val="0"/>
        </w:numPr>
        <w:spacing w:after="156" w:afterLines="50"/>
        <w:ind w:firstLine="643" w:firstLineChars="200"/>
        <w:jc w:val="both"/>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6.</w:t>
      </w:r>
      <w:r>
        <w:rPr>
          <w:rFonts w:hint="eastAsia" w:ascii="仿宋_GB2312" w:hAnsi="仿宋_GB2312" w:eastAsia="仿宋_GB2312" w:cs="仿宋_GB2312"/>
          <w:b/>
          <w:bCs/>
          <w:sz w:val="32"/>
          <w:szCs w:val="32"/>
          <w:highlight w:val="none"/>
        </w:rPr>
        <w:t>居住地构成：居住地在</w:t>
      </w:r>
      <w:r>
        <w:rPr>
          <w:rFonts w:hint="eastAsia" w:ascii="仿宋_GB2312" w:hAnsi="仿宋_GB2312" w:eastAsia="仿宋_GB2312" w:cs="仿宋_GB2312"/>
          <w:b/>
          <w:bCs/>
          <w:sz w:val="32"/>
          <w:szCs w:val="32"/>
          <w:highlight w:val="none"/>
          <w:lang w:eastAsia="zh-CN"/>
        </w:rPr>
        <w:t>四川省</w:t>
      </w:r>
      <w:r>
        <w:rPr>
          <w:rFonts w:hint="eastAsia" w:ascii="仿宋_GB2312" w:hAnsi="仿宋_GB2312" w:eastAsia="仿宋_GB2312" w:cs="仿宋_GB2312"/>
          <w:b/>
          <w:bCs/>
          <w:sz w:val="32"/>
          <w:szCs w:val="32"/>
          <w:highlight w:val="none"/>
        </w:rPr>
        <w:t>的观众占据主体</w:t>
      </w:r>
      <w:bookmarkEnd w:id="55"/>
    </w:p>
    <w:p>
      <w:pPr>
        <w:pStyle w:val="18"/>
        <w:numPr>
          <w:ilvl w:val="0"/>
          <w:numId w:val="0"/>
        </w:numPr>
        <w:spacing w:after="156" w:afterLines="50"/>
        <w:ind w:firstLine="640" w:firstLineChars="200"/>
        <w:jc w:val="both"/>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说明：本次消费者问卷调研不包括对旅游</w:t>
      </w:r>
      <w:r>
        <w:rPr>
          <w:rFonts w:hint="eastAsia" w:ascii="仿宋_GB2312" w:hAnsi="仿宋_GB2312" w:eastAsia="仿宋_GB2312" w:cs="仿宋_GB2312"/>
          <w:b w:val="0"/>
          <w:bCs w:val="0"/>
          <w:sz w:val="32"/>
          <w:szCs w:val="32"/>
          <w:highlight w:val="none"/>
          <w:lang w:val="en-US" w:eastAsia="zh-CN"/>
        </w:rPr>
        <w:t>演艺</w:t>
      </w:r>
      <w:r>
        <w:rPr>
          <w:rFonts w:hint="eastAsia" w:ascii="仿宋_GB2312" w:hAnsi="仿宋_GB2312" w:eastAsia="仿宋_GB2312" w:cs="仿宋_GB2312"/>
          <w:b w:val="0"/>
          <w:bCs w:val="0"/>
          <w:sz w:val="32"/>
          <w:szCs w:val="32"/>
          <w:highlight w:val="none"/>
        </w:rPr>
        <w:t>场所的调研。</w:t>
      </w:r>
    </w:p>
    <w:p>
      <w:pPr>
        <w:pStyle w:val="18"/>
        <w:numPr>
          <w:ilvl w:val="0"/>
          <w:numId w:val="0"/>
        </w:numPr>
        <w:spacing w:after="156" w:afterLines="50"/>
        <w:ind w:firstLine="640" w:firstLineChars="200"/>
        <w:jc w:val="both"/>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rPr>
        <w:t>从居住地来看，</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演出观众以</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本地居民为主，本地居民占观众总体的85.6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%，外地人员占1</w:t>
      </w: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sz w:val="32"/>
          <w:szCs w:val="32"/>
          <w:highlight w:val="none"/>
        </w:rPr>
        <w:t>.7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w:t>
      </w:r>
    </w:p>
    <w:p>
      <w:pPr>
        <w:pStyle w:val="5"/>
        <w:keepNext/>
        <w:keepLines/>
        <w:pageBreakBefore w:val="0"/>
        <w:widowControl w:val="0"/>
        <w:kinsoku/>
        <w:wordWrap/>
        <w:overflowPunct/>
        <w:topLinePunct w:val="0"/>
        <w:autoSpaceDE/>
        <w:autoSpaceDN/>
        <w:bidi w:val="0"/>
        <w:adjustRightInd/>
        <w:snapToGrid w:val="0"/>
        <w:spacing w:before="0" w:after="0"/>
        <w:textAlignment w:val="auto"/>
        <w:rPr>
          <w:rFonts w:hint="eastAsia" w:ascii="黑体" w:hAnsi="黑体" w:cs="黑体"/>
          <w:b w:val="0"/>
          <w:bCs w:val="0"/>
          <w:sz w:val="32"/>
          <w:szCs w:val="32"/>
          <w:highlight w:val="none"/>
          <w:lang w:val="en-US" w:eastAsia="zh-CN"/>
        </w:rPr>
      </w:pPr>
    </w:p>
    <w:p>
      <w:pPr>
        <w:pStyle w:val="5"/>
        <w:keepNext/>
        <w:keepLines/>
        <w:pageBreakBefore w:val="0"/>
        <w:widowControl w:val="0"/>
        <w:kinsoku/>
        <w:wordWrap/>
        <w:overflowPunct/>
        <w:topLinePunct w:val="0"/>
        <w:autoSpaceDE/>
        <w:autoSpaceDN/>
        <w:bidi w:val="0"/>
        <w:adjustRightInd/>
        <w:snapToGrid w:val="0"/>
        <w:spacing w:before="0" w:after="0"/>
        <w:ind w:firstLine="640" w:firstLineChars="200"/>
        <w:textAlignment w:val="auto"/>
        <w:rPr>
          <w:rFonts w:hint="eastAsia" w:ascii="黑体" w:hAnsi="黑体" w:eastAsia="黑体" w:cs="黑体"/>
          <w:b w:val="0"/>
          <w:bCs w:val="0"/>
          <w:sz w:val="32"/>
          <w:szCs w:val="32"/>
          <w:highlight w:val="none"/>
        </w:rPr>
      </w:pPr>
      <w:r>
        <w:rPr>
          <w:rFonts w:hint="eastAsia" w:ascii="黑体" w:hAnsi="黑体" w:cs="黑体"/>
          <w:b w:val="0"/>
          <w:bCs w:val="0"/>
          <w:sz w:val="32"/>
          <w:szCs w:val="32"/>
          <w:highlight w:val="none"/>
          <w:lang w:val="en-US" w:eastAsia="zh-CN"/>
        </w:rPr>
        <w:t>三</w:t>
      </w:r>
      <w:r>
        <w:rPr>
          <w:rFonts w:hint="eastAsia" w:ascii="黑体" w:hAnsi="黑体" w:eastAsia="黑体" w:cs="黑体"/>
          <w:b w:val="0"/>
          <w:bCs w:val="0"/>
          <w:sz w:val="32"/>
          <w:szCs w:val="32"/>
          <w:highlight w:val="none"/>
        </w:rPr>
        <w:t>、</w:t>
      </w:r>
      <w:r>
        <w:rPr>
          <w:rFonts w:hint="eastAsia" w:ascii="黑体" w:hAnsi="黑体" w:eastAsia="黑体" w:cs="黑体"/>
          <w:b w:val="0"/>
          <w:bCs w:val="0"/>
          <w:sz w:val="32"/>
          <w:szCs w:val="32"/>
          <w:highlight w:val="none"/>
          <w:lang w:eastAsia="zh-CN"/>
        </w:rPr>
        <w:t>四川省</w:t>
      </w:r>
      <w:r>
        <w:rPr>
          <w:rFonts w:hint="eastAsia" w:ascii="黑体" w:hAnsi="黑体" w:eastAsia="黑体" w:cs="黑体"/>
          <w:b w:val="0"/>
          <w:bCs w:val="0"/>
          <w:sz w:val="32"/>
          <w:szCs w:val="32"/>
          <w:highlight w:val="none"/>
        </w:rPr>
        <w:t>演出观众消费行为与习惯</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1．观看演出的场次：大多数人20</w:t>
      </w:r>
      <w:r>
        <w:rPr>
          <w:rFonts w:hint="eastAsia" w:ascii="仿宋_GB2312" w:hAnsi="仿宋_GB2312" w:eastAsia="仿宋_GB2312" w:cs="仿宋_GB2312"/>
          <w:b/>
          <w:bCs/>
          <w:sz w:val="32"/>
          <w:szCs w:val="32"/>
          <w:highlight w:val="none"/>
          <w:lang w:val="en-US" w:eastAsia="zh-CN"/>
        </w:rPr>
        <w:t>21</w:t>
      </w:r>
      <w:r>
        <w:rPr>
          <w:rFonts w:hint="eastAsia" w:ascii="仿宋_GB2312" w:hAnsi="仿宋_GB2312" w:eastAsia="仿宋_GB2312" w:cs="仿宋_GB2312"/>
          <w:b/>
          <w:bCs/>
          <w:sz w:val="32"/>
          <w:szCs w:val="32"/>
          <w:highlight w:val="none"/>
        </w:rPr>
        <w:t>年观看演出的场次为1-5场</w:t>
      </w: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数据显示，在被调查者中，大多数的人20</w:t>
      </w:r>
      <w:r>
        <w:rPr>
          <w:rFonts w:hint="eastAsia" w:ascii="仿宋_GB2312" w:hAnsi="仿宋_GB2312" w:eastAsia="仿宋_GB2312" w:cs="仿宋_GB2312"/>
          <w:b w:val="0"/>
          <w:bCs w:val="0"/>
          <w:sz w:val="32"/>
          <w:szCs w:val="32"/>
          <w:highlight w:val="none"/>
          <w:lang w:val="en-US" w:eastAsia="zh-CN"/>
        </w:rPr>
        <w:t>21</w:t>
      </w:r>
      <w:r>
        <w:rPr>
          <w:rFonts w:hint="eastAsia" w:ascii="仿宋_GB2312" w:hAnsi="仿宋_GB2312" w:eastAsia="仿宋_GB2312" w:cs="仿宋_GB2312"/>
          <w:b w:val="0"/>
          <w:bCs w:val="0"/>
          <w:sz w:val="32"/>
          <w:szCs w:val="32"/>
          <w:highlight w:val="none"/>
        </w:rPr>
        <w:t>年观看演出的场次为1-5场，占总体的65.2</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%，观看6场以上的人群大约占据18%。由于本次调研主要在演出场馆进行，场馆外调查样本数较少，所以实际上没看过演出的观众比例会更大。</w:t>
      </w:r>
    </w:p>
    <w:p>
      <w:pPr>
        <w:jc w:val="both"/>
        <w:rPr>
          <w:rFonts w:hint="eastAsia" w:ascii="华文中宋" w:hAnsi="华文中宋" w:eastAsia="华文中宋"/>
          <w:highlight w:val="none"/>
          <w:lang w:val="en-US" w:eastAsia="zh-CN"/>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29" o:spt="75" type="#_x0000_t75" style="height:176.8pt;width:302.8pt;" o:ole="t" filled="f" o:preferrelative="f" stroked="f" coordsize="21600,21600">
            <v:path/>
            <v:fill on="f" alignshape="1" focussize="0,0"/>
            <v:stroke on="f"/>
            <v:imagedata r:id="rId57" grayscale="f" bilevel="f" o:title=""/>
            <o:lock v:ext="edit" aspectratio="f"/>
            <w10:wrap type="none"/>
            <w10:anchorlock/>
          </v:shape>
          <o:OLEObject Type="Embed" ProgID="MSGraph.Chart.8" ShapeID="_x0000_i1029" DrawAspect="Content" ObjectID="_1468075730" r:id="rId56">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6</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val="en-US" w:eastAsia="zh-CN"/>
        </w:rPr>
        <w:t xml:space="preserve"> 2021</w:t>
      </w:r>
      <w:r>
        <w:rPr>
          <w:rStyle w:val="19"/>
          <w:rFonts w:hint="eastAsia" w:ascii="华文中宋" w:hAnsi="华文中宋" w:eastAsia="华文中宋"/>
          <w:highlight w:val="none"/>
        </w:rPr>
        <w:t>年</w:t>
      </w:r>
      <w:r>
        <w:rPr>
          <w:rStyle w:val="19"/>
          <w:rFonts w:hint="eastAsia" w:ascii="华文中宋" w:hAnsi="华文中宋" w:eastAsia="华文中宋"/>
          <w:highlight w:val="none"/>
          <w:lang w:val="en-US" w:eastAsia="zh-CN"/>
        </w:rPr>
        <w:t>四川观众</w:t>
      </w:r>
      <w:r>
        <w:rPr>
          <w:rStyle w:val="19"/>
          <w:rFonts w:hint="eastAsia" w:ascii="华文中宋" w:hAnsi="华文中宋" w:eastAsia="华文中宋"/>
          <w:highlight w:val="none"/>
        </w:rPr>
        <w:t>观看演出的场次</w:t>
      </w:r>
    </w:p>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56" w:name="_Toc245558665"/>
      <w:r>
        <w:rPr>
          <w:rFonts w:hint="eastAsia" w:ascii="仿宋_GB2312" w:hAnsi="仿宋_GB2312" w:eastAsia="仿宋_GB2312" w:cs="仿宋_GB2312"/>
          <w:b/>
          <w:bCs/>
          <w:sz w:val="32"/>
          <w:szCs w:val="32"/>
          <w:highlight w:val="none"/>
        </w:rPr>
        <w:t>2．观看演出的类型：音乐会</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rPr>
        <w:t>话剧是观看最多的类型</w:t>
      </w:r>
      <w:bookmarkEnd w:id="56"/>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总体观看最多的演出类型。就观看演出的类型而言，音乐会和</w:t>
      </w:r>
      <w:r>
        <w:rPr>
          <w:rFonts w:hint="eastAsia" w:ascii="仿宋_GB2312" w:hAnsi="仿宋_GB2312" w:eastAsia="仿宋_GB2312" w:cs="仿宋_GB2312"/>
          <w:b w:val="0"/>
          <w:bCs w:val="0"/>
          <w:sz w:val="32"/>
          <w:szCs w:val="32"/>
          <w:highlight w:val="none"/>
          <w:lang w:val="en-US" w:eastAsia="zh-CN"/>
        </w:rPr>
        <w:t>话剧</w:t>
      </w:r>
      <w:r>
        <w:rPr>
          <w:rFonts w:hint="eastAsia" w:ascii="仿宋_GB2312" w:hAnsi="仿宋_GB2312" w:eastAsia="仿宋_GB2312" w:cs="仿宋_GB2312"/>
          <w:b w:val="0"/>
          <w:bCs w:val="0"/>
          <w:sz w:val="32"/>
          <w:szCs w:val="32"/>
          <w:highlight w:val="none"/>
        </w:rPr>
        <w:t>是20</w:t>
      </w:r>
      <w:r>
        <w:rPr>
          <w:rFonts w:hint="eastAsia" w:ascii="仿宋_GB2312" w:hAnsi="仿宋_GB2312" w:eastAsia="仿宋_GB2312" w:cs="仿宋_GB2312"/>
          <w:b w:val="0"/>
          <w:bCs w:val="0"/>
          <w:sz w:val="32"/>
          <w:szCs w:val="32"/>
          <w:highlight w:val="none"/>
          <w:lang w:val="en-US" w:eastAsia="zh-CN"/>
        </w:rPr>
        <w:t>21</w:t>
      </w:r>
      <w:r>
        <w:rPr>
          <w:rFonts w:hint="eastAsia" w:ascii="仿宋_GB2312" w:hAnsi="仿宋_GB2312" w:eastAsia="仿宋_GB2312" w:cs="仿宋_GB2312"/>
          <w:b w:val="0"/>
          <w:bCs w:val="0"/>
          <w:sz w:val="32"/>
          <w:szCs w:val="32"/>
          <w:highlight w:val="none"/>
        </w:rPr>
        <w:t>年观众观看最多的两种</w:t>
      </w:r>
      <w:r>
        <w:rPr>
          <w:rFonts w:hint="eastAsia" w:ascii="仿宋_GB2312" w:hAnsi="仿宋_GB2312" w:eastAsia="仿宋_GB2312" w:cs="仿宋_GB2312"/>
          <w:b w:val="0"/>
          <w:bCs w:val="0"/>
          <w:sz w:val="32"/>
          <w:szCs w:val="32"/>
          <w:highlight w:val="none"/>
          <w:lang w:val="en-US" w:eastAsia="zh-CN"/>
        </w:rPr>
        <w:t>演出</w:t>
      </w:r>
      <w:r>
        <w:rPr>
          <w:rFonts w:hint="eastAsia" w:ascii="仿宋_GB2312" w:hAnsi="仿宋_GB2312" w:eastAsia="仿宋_GB2312" w:cs="仿宋_GB2312"/>
          <w:b w:val="0"/>
          <w:bCs w:val="0"/>
          <w:sz w:val="32"/>
          <w:szCs w:val="32"/>
          <w:highlight w:val="none"/>
        </w:rPr>
        <w:t>类型，分别有</w:t>
      </w:r>
      <w:r>
        <w:rPr>
          <w:rFonts w:hint="eastAsia" w:ascii="仿宋_GB2312" w:hAnsi="仿宋_GB2312" w:eastAsia="仿宋_GB2312" w:cs="仿宋_GB2312"/>
          <w:b w:val="0"/>
          <w:bCs w:val="0"/>
          <w:sz w:val="32"/>
          <w:szCs w:val="32"/>
          <w:highlight w:val="none"/>
          <w:lang w:val="en-US" w:eastAsia="zh-CN"/>
        </w:rPr>
        <w:t>28.30</w:t>
      </w:r>
      <w:r>
        <w:rPr>
          <w:rFonts w:hint="eastAsia" w:ascii="仿宋_GB2312" w:hAnsi="仿宋_GB2312" w:eastAsia="仿宋_GB2312" w:cs="仿宋_GB2312"/>
          <w:b w:val="0"/>
          <w:bCs w:val="0"/>
          <w:sz w:val="32"/>
          <w:szCs w:val="32"/>
          <w:highlight w:val="none"/>
        </w:rPr>
        <w:t>%和</w:t>
      </w:r>
      <w:r>
        <w:rPr>
          <w:rFonts w:hint="eastAsia" w:ascii="仿宋_GB2312" w:hAnsi="仿宋_GB2312" w:eastAsia="仿宋_GB2312" w:cs="仿宋_GB2312"/>
          <w:b w:val="0"/>
          <w:bCs w:val="0"/>
          <w:sz w:val="32"/>
          <w:szCs w:val="32"/>
          <w:highlight w:val="none"/>
          <w:lang w:val="en-US" w:eastAsia="zh-CN"/>
        </w:rPr>
        <w:t>27.20</w:t>
      </w:r>
      <w:r>
        <w:rPr>
          <w:rFonts w:hint="eastAsia" w:ascii="仿宋_GB2312" w:hAnsi="仿宋_GB2312" w:eastAsia="仿宋_GB2312" w:cs="仿宋_GB2312"/>
          <w:b w:val="0"/>
          <w:bCs w:val="0"/>
          <w:sz w:val="32"/>
          <w:szCs w:val="32"/>
          <w:highlight w:val="none"/>
        </w:rPr>
        <w:t>%的人观看了这两类演出。其次是</w:t>
      </w:r>
      <w:r>
        <w:rPr>
          <w:rFonts w:hint="eastAsia" w:ascii="仿宋_GB2312" w:hAnsi="仿宋_GB2312" w:eastAsia="仿宋_GB2312" w:cs="仿宋_GB2312"/>
          <w:b w:val="0"/>
          <w:bCs w:val="0"/>
          <w:sz w:val="32"/>
          <w:szCs w:val="32"/>
          <w:highlight w:val="none"/>
          <w:lang w:val="en-US" w:eastAsia="zh-CN"/>
        </w:rPr>
        <w:t>演唱会/livehouse/音乐节</w:t>
      </w:r>
      <w:r>
        <w:rPr>
          <w:rFonts w:hint="eastAsia" w:ascii="仿宋_GB2312" w:hAnsi="仿宋_GB2312" w:eastAsia="仿宋_GB2312" w:cs="仿宋_GB2312"/>
          <w:b w:val="0"/>
          <w:bCs w:val="0"/>
          <w:sz w:val="32"/>
          <w:szCs w:val="32"/>
          <w:highlight w:val="none"/>
        </w:rPr>
        <w:t>，观看</w:t>
      </w:r>
      <w:r>
        <w:rPr>
          <w:rFonts w:hint="eastAsia" w:ascii="仿宋_GB2312" w:hAnsi="仿宋_GB2312" w:eastAsia="仿宋_GB2312" w:cs="仿宋_GB2312"/>
          <w:b w:val="0"/>
          <w:bCs w:val="0"/>
          <w:sz w:val="32"/>
          <w:szCs w:val="32"/>
          <w:highlight w:val="none"/>
          <w:lang w:val="en-US" w:eastAsia="zh-CN"/>
        </w:rPr>
        <w:t>人数</w:t>
      </w:r>
      <w:r>
        <w:rPr>
          <w:rFonts w:hint="eastAsia" w:ascii="仿宋_GB2312" w:hAnsi="仿宋_GB2312" w:eastAsia="仿宋_GB2312" w:cs="仿宋_GB2312"/>
          <w:b w:val="0"/>
          <w:bCs w:val="0"/>
          <w:sz w:val="32"/>
          <w:szCs w:val="32"/>
          <w:highlight w:val="none"/>
        </w:rPr>
        <w:t>占到了</w:t>
      </w:r>
      <w:r>
        <w:rPr>
          <w:rFonts w:hint="eastAsia" w:ascii="仿宋_GB2312" w:hAnsi="仿宋_GB2312" w:eastAsia="仿宋_GB2312" w:cs="仿宋_GB2312"/>
          <w:b w:val="0"/>
          <w:bCs w:val="0"/>
          <w:sz w:val="32"/>
          <w:szCs w:val="32"/>
          <w:highlight w:val="none"/>
          <w:lang w:val="en-US" w:eastAsia="zh-CN"/>
        </w:rPr>
        <w:t>19</w:t>
      </w:r>
      <w:r>
        <w:rPr>
          <w:rFonts w:hint="eastAsia" w:ascii="仿宋_GB2312" w:hAnsi="仿宋_GB2312" w:eastAsia="仿宋_GB2312" w:cs="仿宋_GB2312"/>
          <w:b w:val="0"/>
          <w:bCs w:val="0"/>
          <w:sz w:val="32"/>
          <w:szCs w:val="32"/>
          <w:highlight w:val="none"/>
        </w:rPr>
        <w:t>.4</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%，其余的依次为：儿童</w:t>
      </w:r>
      <w:r>
        <w:rPr>
          <w:rFonts w:hint="eastAsia" w:ascii="仿宋_GB2312" w:hAnsi="仿宋_GB2312" w:eastAsia="仿宋_GB2312" w:cs="仿宋_GB2312"/>
          <w:b w:val="0"/>
          <w:bCs w:val="0"/>
          <w:sz w:val="32"/>
          <w:szCs w:val="32"/>
          <w:highlight w:val="none"/>
          <w:lang w:val="en-US" w:eastAsia="zh-CN"/>
        </w:rPr>
        <w:t>剧</w:t>
      </w:r>
      <w:r>
        <w:rPr>
          <w:rFonts w:hint="eastAsia" w:ascii="仿宋_GB2312" w:hAnsi="仿宋_GB2312" w:eastAsia="仿宋_GB2312" w:cs="仿宋_GB2312"/>
          <w:b w:val="0"/>
          <w:bCs w:val="0"/>
          <w:sz w:val="32"/>
          <w:szCs w:val="32"/>
          <w:highlight w:val="none"/>
        </w:rPr>
        <w:t>、音乐剧</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highlight w:val="none"/>
        </w:rPr>
        <w:t>歌剧</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rPr>
        <w:t>舞剧</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rPr>
        <w:t>地方</w:t>
      </w:r>
      <w:r>
        <w:rPr>
          <w:rFonts w:hint="eastAsia" w:ascii="仿宋_GB2312" w:hAnsi="仿宋_GB2312" w:eastAsia="仿宋_GB2312" w:cs="仿宋_GB2312"/>
          <w:b w:val="0"/>
          <w:bCs w:val="0"/>
          <w:sz w:val="32"/>
          <w:szCs w:val="32"/>
          <w:highlight w:val="none"/>
          <w:lang w:val="en-US" w:eastAsia="zh-CN"/>
        </w:rPr>
        <w:t>戏曲</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rPr>
        <w:t>曲艺杂技</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rPr>
        <w:t>脱口秀</w:t>
      </w:r>
      <w:r>
        <w:rPr>
          <w:rFonts w:hint="eastAsia" w:ascii="仿宋_GB2312" w:hAnsi="仿宋_GB2312" w:eastAsia="仿宋_GB2312" w:cs="仿宋_GB2312"/>
          <w:b w:val="0"/>
          <w:bCs w:val="0"/>
          <w:sz w:val="32"/>
          <w:szCs w:val="32"/>
          <w:highlight w:val="none"/>
          <w:lang w:val="en-US" w:eastAsia="zh-CN"/>
        </w:rPr>
        <w:t>及</w:t>
      </w:r>
      <w:r>
        <w:rPr>
          <w:rFonts w:hint="eastAsia" w:ascii="仿宋_GB2312" w:hAnsi="仿宋_GB2312" w:eastAsia="仿宋_GB2312" w:cs="仿宋_GB2312"/>
          <w:b w:val="0"/>
          <w:bCs w:val="0"/>
          <w:sz w:val="32"/>
          <w:szCs w:val="32"/>
          <w:highlight w:val="none"/>
        </w:rPr>
        <w:t>其他类型的演出。</w:t>
      </w:r>
    </w:p>
    <w:p>
      <w:pPr>
        <w:jc w:val="center"/>
        <w:rPr>
          <w:highlight w:val="none"/>
        </w:rPr>
      </w:pPr>
      <w:r>
        <w:rPr>
          <w:highlight w:val="none"/>
        </w:rPr>
        <w:drawing>
          <wp:inline distT="0" distB="0" distL="114300" distR="114300">
            <wp:extent cx="5271135" cy="2381250"/>
            <wp:effectExtent l="7620" t="7620" r="17145" b="68580"/>
            <wp:docPr id="57" name="图表 2" descr="7b0a202020202263686172745265734964223a202232303335323639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2"/>
        <w:rPr>
          <w:rFonts w:hint="eastAsia"/>
          <w:highlight w:val="none"/>
        </w:rPr>
      </w:pP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7</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val="en-US" w:eastAsia="zh-CN"/>
        </w:rPr>
        <w:t>2021</w:t>
      </w:r>
      <w:r>
        <w:rPr>
          <w:rStyle w:val="19"/>
          <w:rFonts w:hint="eastAsia" w:ascii="华文中宋" w:hAnsi="华文中宋" w:eastAsia="华文中宋"/>
          <w:highlight w:val="none"/>
        </w:rPr>
        <w:t>年</w:t>
      </w:r>
      <w:r>
        <w:rPr>
          <w:rStyle w:val="19"/>
          <w:rFonts w:hint="eastAsia" w:ascii="华文中宋" w:hAnsi="华文中宋" w:eastAsia="华文中宋"/>
          <w:highlight w:val="none"/>
          <w:lang w:val="en-US" w:eastAsia="zh-CN"/>
        </w:rPr>
        <w:t>四川观众</w:t>
      </w:r>
      <w:r>
        <w:rPr>
          <w:rStyle w:val="19"/>
          <w:rFonts w:hint="eastAsia" w:ascii="华文中宋" w:hAnsi="华文中宋" w:eastAsia="华文中宋"/>
          <w:highlight w:val="none"/>
        </w:rPr>
        <w:t>观看演出的</w:t>
      </w:r>
      <w:r>
        <w:rPr>
          <w:rStyle w:val="19"/>
          <w:rFonts w:hint="eastAsia" w:ascii="华文中宋" w:hAnsi="华文中宋" w:eastAsia="华文中宋"/>
          <w:highlight w:val="none"/>
          <w:lang w:val="en-US" w:eastAsia="zh-CN"/>
        </w:rPr>
        <w:t>演出</w:t>
      </w:r>
      <w:r>
        <w:rPr>
          <w:rStyle w:val="19"/>
          <w:rFonts w:hint="eastAsia" w:ascii="华文中宋" w:hAnsi="华文中宋" w:eastAsia="华文中宋"/>
          <w:highlight w:val="none"/>
        </w:rPr>
        <w:t>类型</w:t>
      </w:r>
    </w:p>
    <w:p>
      <w:pPr>
        <w:jc w:val="both"/>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不同性别的人观看</w:t>
      </w:r>
      <w:r>
        <w:rPr>
          <w:rFonts w:hint="eastAsia" w:ascii="仿宋_GB2312" w:hAnsi="仿宋_GB2312" w:eastAsia="仿宋_GB2312" w:cs="仿宋_GB2312"/>
          <w:b w:val="0"/>
          <w:bCs w:val="0"/>
          <w:sz w:val="32"/>
          <w:szCs w:val="32"/>
          <w:highlight w:val="none"/>
          <w:lang w:val="en-US" w:eastAsia="zh-CN"/>
        </w:rPr>
        <w:t>川</w:t>
      </w:r>
      <w:r>
        <w:rPr>
          <w:rFonts w:hint="eastAsia" w:ascii="仿宋_GB2312" w:hAnsi="仿宋_GB2312" w:eastAsia="仿宋_GB2312" w:cs="仿宋_GB2312"/>
          <w:b w:val="0"/>
          <w:bCs w:val="0"/>
          <w:sz w:val="32"/>
          <w:szCs w:val="32"/>
          <w:highlight w:val="none"/>
        </w:rPr>
        <w:t>剧、儿童剧等类型的比例存在较大差异。不同性别的观众观看演出的</w:t>
      </w:r>
      <w:r>
        <w:rPr>
          <w:rFonts w:hint="eastAsia" w:ascii="仿宋_GB2312" w:hAnsi="仿宋_GB2312" w:eastAsia="仿宋_GB2312" w:cs="仿宋_GB2312"/>
          <w:b w:val="0"/>
          <w:bCs w:val="0"/>
          <w:sz w:val="32"/>
          <w:szCs w:val="32"/>
          <w:highlight w:val="none"/>
          <w:lang w:val="en-US" w:eastAsia="zh-CN"/>
        </w:rPr>
        <w:t>演出</w:t>
      </w:r>
      <w:r>
        <w:rPr>
          <w:rFonts w:hint="eastAsia" w:ascii="仿宋_GB2312" w:hAnsi="仿宋_GB2312" w:eastAsia="仿宋_GB2312" w:cs="仿宋_GB2312"/>
          <w:b w:val="0"/>
          <w:bCs w:val="0"/>
          <w:sz w:val="32"/>
          <w:szCs w:val="32"/>
          <w:highlight w:val="none"/>
        </w:rPr>
        <w:t>类型没有实质性差异，但是对</w:t>
      </w:r>
      <w:r>
        <w:rPr>
          <w:rFonts w:hint="eastAsia" w:ascii="仿宋_GB2312" w:hAnsi="仿宋_GB2312" w:eastAsia="仿宋_GB2312" w:cs="仿宋_GB2312"/>
          <w:b w:val="0"/>
          <w:bCs w:val="0"/>
          <w:sz w:val="32"/>
          <w:szCs w:val="32"/>
          <w:highlight w:val="none"/>
          <w:lang w:eastAsia="zh-CN"/>
        </w:rPr>
        <w:t>川</w:t>
      </w:r>
      <w:r>
        <w:rPr>
          <w:rFonts w:hint="eastAsia" w:ascii="仿宋_GB2312" w:hAnsi="仿宋_GB2312" w:eastAsia="仿宋_GB2312" w:cs="仿宋_GB2312"/>
          <w:b w:val="0"/>
          <w:bCs w:val="0"/>
          <w:sz w:val="32"/>
          <w:szCs w:val="32"/>
          <w:highlight w:val="none"/>
        </w:rPr>
        <w:t>剧、</w:t>
      </w:r>
      <w:r>
        <w:rPr>
          <w:rFonts w:hint="eastAsia" w:ascii="仿宋_GB2312" w:hAnsi="仿宋_GB2312" w:eastAsia="仿宋_GB2312" w:cs="仿宋_GB2312"/>
          <w:b w:val="0"/>
          <w:bCs w:val="0"/>
          <w:sz w:val="32"/>
          <w:szCs w:val="32"/>
          <w:highlight w:val="none"/>
          <w:lang w:val="en-US" w:eastAsia="zh-CN"/>
        </w:rPr>
        <w:t>曲艺</w:t>
      </w:r>
      <w:r>
        <w:rPr>
          <w:rFonts w:hint="eastAsia" w:ascii="仿宋_GB2312" w:hAnsi="仿宋_GB2312" w:eastAsia="仿宋_GB2312" w:cs="仿宋_GB2312"/>
          <w:b w:val="0"/>
          <w:bCs w:val="0"/>
          <w:sz w:val="32"/>
          <w:szCs w:val="32"/>
          <w:highlight w:val="none"/>
        </w:rPr>
        <w:t>等演出形式，男性观众的比例高于女性。对儿童</w:t>
      </w:r>
      <w:r>
        <w:rPr>
          <w:rFonts w:hint="eastAsia" w:ascii="仿宋_GB2312" w:hAnsi="仿宋_GB2312" w:eastAsia="仿宋_GB2312" w:cs="仿宋_GB2312"/>
          <w:b w:val="0"/>
          <w:bCs w:val="0"/>
          <w:sz w:val="32"/>
          <w:szCs w:val="32"/>
          <w:highlight w:val="none"/>
          <w:lang w:val="en-US" w:eastAsia="zh-CN"/>
        </w:rPr>
        <w:t>剧</w:t>
      </w:r>
      <w:r>
        <w:rPr>
          <w:rFonts w:hint="eastAsia" w:ascii="仿宋_GB2312" w:hAnsi="仿宋_GB2312" w:eastAsia="仿宋_GB2312" w:cs="仿宋_GB2312"/>
          <w:b w:val="0"/>
          <w:bCs w:val="0"/>
          <w:sz w:val="32"/>
          <w:szCs w:val="32"/>
          <w:highlight w:val="none"/>
        </w:rPr>
        <w:t>等演出类型而言，通常是由一名家长陪同或三口之家一起</w:t>
      </w:r>
      <w:r>
        <w:rPr>
          <w:rFonts w:hint="eastAsia" w:ascii="仿宋_GB2312" w:hAnsi="仿宋_GB2312" w:eastAsia="仿宋_GB2312" w:cs="仿宋_GB2312"/>
          <w:b w:val="0"/>
          <w:bCs w:val="0"/>
          <w:sz w:val="32"/>
          <w:szCs w:val="32"/>
          <w:highlight w:val="none"/>
          <w:lang w:val="en-US" w:eastAsia="zh-CN"/>
        </w:rPr>
        <w:t>观</w:t>
      </w:r>
      <w:r>
        <w:rPr>
          <w:rFonts w:hint="eastAsia" w:ascii="仿宋_GB2312" w:hAnsi="仿宋_GB2312" w:eastAsia="仿宋_GB2312" w:cs="仿宋_GB2312"/>
          <w:b w:val="0"/>
          <w:bCs w:val="0"/>
          <w:sz w:val="32"/>
          <w:szCs w:val="32"/>
          <w:highlight w:val="none"/>
        </w:rPr>
        <w:t>看。</w: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 xml:space="preserve">8 </w:t>
      </w:r>
      <w:r>
        <w:rPr>
          <w:rStyle w:val="19"/>
          <w:rFonts w:hint="eastAsia" w:ascii="华文中宋" w:hAnsi="华文中宋" w:eastAsia="华文中宋"/>
          <w:highlight w:val="none"/>
        </w:rPr>
        <w:t>不同性别的人观看演出的</w:t>
      </w:r>
      <w:r>
        <w:rPr>
          <w:rStyle w:val="19"/>
          <w:rFonts w:hint="eastAsia" w:ascii="华文中宋" w:hAnsi="华文中宋" w:eastAsia="华文中宋"/>
          <w:highlight w:val="none"/>
          <w:lang w:val="en-US" w:eastAsia="zh-CN"/>
        </w:rPr>
        <w:t>演出</w:t>
      </w:r>
      <w:r>
        <w:rPr>
          <w:rStyle w:val="19"/>
          <w:rFonts w:hint="eastAsia" w:ascii="华文中宋" w:hAnsi="华文中宋" w:eastAsia="华文中宋"/>
          <w:highlight w:val="none"/>
        </w:rPr>
        <w:t>类型</w:t>
      </w:r>
    </w:p>
    <w:tbl>
      <w:tblPr>
        <w:tblStyle w:val="13"/>
        <w:tblW w:w="6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372"/>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77" w:type="dxa"/>
            <w:shd w:val="clear" w:color="auto" w:fill="C0C0C0"/>
            <w:noWrap/>
            <w:vAlign w:val="center"/>
          </w:tcPr>
          <w:p>
            <w:pPr>
              <w:widowControl/>
              <w:jc w:val="center"/>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lang w:val="en-US" w:eastAsia="zh-CN"/>
              </w:rPr>
              <w:t>演出</w:t>
            </w:r>
            <w:r>
              <w:rPr>
                <w:rFonts w:hint="eastAsia" w:ascii="华文中宋" w:hAnsi="华文中宋" w:eastAsia="华文中宋" w:cs="宋体"/>
                <w:b/>
                <w:color w:val="000000"/>
                <w:kern w:val="0"/>
                <w:sz w:val="18"/>
                <w:szCs w:val="18"/>
                <w:highlight w:val="none"/>
              </w:rPr>
              <w:t>类型</w:t>
            </w:r>
          </w:p>
        </w:tc>
        <w:tc>
          <w:tcPr>
            <w:tcW w:w="2372" w:type="dxa"/>
            <w:shd w:val="clear" w:color="auto" w:fill="C0C0C0"/>
            <w:noWrap/>
            <w:vAlign w:val="center"/>
          </w:tcPr>
          <w:p>
            <w:pPr>
              <w:widowControl/>
              <w:jc w:val="center"/>
              <w:rPr>
                <w:rFonts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男性（占男性总体）</w:t>
            </w:r>
          </w:p>
        </w:tc>
        <w:tc>
          <w:tcPr>
            <w:tcW w:w="2372" w:type="dxa"/>
            <w:shd w:val="clear" w:color="auto" w:fill="C0C0C0"/>
            <w:noWrap/>
            <w:vAlign w:val="center"/>
          </w:tcPr>
          <w:p>
            <w:pPr>
              <w:widowControl/>
              <w:jc w:val="center"/>
              <w:rPr>
                <w:rFonts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女性（占女性总体）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音乐会</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35.7%</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话剧</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25.0%</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lang w:eastAsia="zh-CN"/>
              </w:rPr>
              <w:t>川</w:t>
            </w:r>
            <w:r>
              <w:rPr>
                <w:rFonts w:hint="eastAsia" w:ascii="华文中宋" w:hAnsi="华文中宋" w:eastAsia="华文中宋" w:cs="宋体"/>
                <w:color w:val="000000"/>
                <w:kern w:val="0"/>
                <w:sz w:val="18"/>
                <w:szCs w:val="18"/>
                <w:highlight w:val="none"/>
              </w:rPr>
              <w:t>剧</w:t>
            </w:r>
          </w:p>
        </w:tc>
        <w:tc>
          <w:tcPr>
            <w:tcW w:w="2372" w:type="dxa"/>
            <w:shd w:val="clear" w:color="auto" w:fill="C0C0C0"/>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23.2%</w:t>
            </w:r>
          </w:p>
        </w:tc>
        <w:tc>
          <w:tcPr>
            <w:tcW w:w="2372" w:type="dxa"/>
            <w:shd w:val="clear" w:color="auto" w:fill="C0C0C0"/>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hint="default" w:ascii="华文中宋" w:hAnsi="华文中宋" w:eastAsia="华文中宋" w:cs="宋体"/>
                <w:color w:val="000000"/>
                <w:kern w:val="0"/>
                <w:sz w:val="18"/>
                <w:szCs w:val="18"/>
                <w:highlight w:val="none"/>
                <w:lang w:val="en-US" w:eastAsia="zh-CN"/>
              </w:rPr>
            </w:pPr>
            <w:r>
              <w:rPr>
                <w:rFonts w:hint="eastAsia" w:ascii="华文中宋" w:hAnsi="华文中宋" w:eastAsia="华文中宋" w:cs="宋体"/>
                <w:color w:val="000000"/>
                <w:kern w:val="0"/>
                <w:sz w:val="18"/>
                <w:szCs w:val="18"/>
                <w:highlight w:val="none"/>
                <w:lang w:val="en-US" w:eastAsia="zh-CN"/>
              </w:rPr>
              <w:t>曲艺</w:t>
            </w:r>
          </w:p>
        </w:tc>
        <w:tc>
          <w:tcPr>
            <w:tcW w:w="2372" w:type="dxa"/>
            <w:shd w:val="clear" w:color="auto" w:fill="C0C0C0"/>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22.0%</w:t>
            </w:r>
          </w:p>
        </w:tc>
        <w:tc>
          <w:tcPr>
            <w:tcW w:w="2372" w:type="dxa"/>
            <w:shd w:val="clear" w:color="auto" w:fill="C0C0C0"/>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歌舞</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19.0%</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综艺类</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16.1%</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hint="eastAsia" w:ascii="华文中宋" w:hAnsi="华文中宋" w:eastAsia="华文中宋" w:cs="宋体"/>
                <w:color w:val="000000"/>
                <w:kern w:val="0"/>
                <w:sz w:val="18"/>
                <w:szCs w:val="18"/>
                <w:highlight w:val="none"/>
                <w:lang w:eastAsia="zh-CN"/>
              </w:rPr>
            </w:pPr>
            <w:r>
              <w:rPr>
                <w:rFonts w:hint="eastAsia" w:ascii="华文中宋" w:hAnsi="华文中宋" w:eastAsia="华文中宋" w:cs="宋体"/>
                <w:color w:val="000000"/>
                <w:kern w:val="0"/>
                <w:sz w:val="18"/>
                <w:szCs w:val="18"/>
                <w:highlight w:val="none"/>
              </w:rPr>
              <w:t>儿童</w:t>
            </w:r>
            <w:r>
              <w:rPr>
                <w:rFonts w:hint="eastAsia" w:ascii="华文中宋" w:hAnsi="华文中宋" w:eastAsia="华文中宋" w:cs="宋体"/>
                <w:color w:val="000000"/>
                <w:kern w:val="0"/>
                <w:sz w:val="18"/>
                <w:szCs w:val="18"/>
                <w:highlight w:val="none"/>
                <w:lang w:val="en-US" w:eastAsia="zh-CN"/>
              </w:rPr>
              <w:t>剧</w:t>
            </w:r>
          </w:p>
        </w:tc>
        <w:tc>
          <w:tcPr>
            <w:tcW w:w="2372" w:type="dxa"/>
            <w:shd w:val="clear" w:color="auto" w:fill="C0C0C0"/>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13.7%</w:t>
            </w:r>
          </w:p>
        </w:tc>
        <w:tc>
          <w:tcPr>
            <w:tcW w:w="2372" w:type="dxa"/>
            <w:shd w:val="clear" w:color="auto" w:fill="C0C0C0"/>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地方戏曲</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9.5%</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歌剧</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7.7%</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杂技魔术</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5.4%</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widowControl/>
              <w:jc w:val="left"/>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其他</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3.0%</w:t>
            </w:r>
          </w:p>
        </w:tc>
        <w:tc>
          <w:tcPr>
            <w:tcW w:w="2372" w:type="dxa"/>
            <w:shd w:val="clear" w:color="auto" w:fill="auto"/>
            <w:noWrap/>
            <w:vAlign w:val="center"/>
          </w:tcPr>
          <w:p>
            <w:pPr>
              <w:widowControl/>
              <w:jc w:val="center"/>
              <w:rPr>
                <w:rFonts w:ascii="华文中宋" w:hAnsi="华文中宋" w:eastAsia="华文中宋" w:cs="宋体"/>
                <w:color w:val="000000"/>
                <w:kern w:val="0"/>
                <w:sz w:val="18"/>
                <w:szCs w:val="18"/>
                <w:highlight w:val="none"/>
              </w:rPr>
            </w:pPr>
            <w:r>
              <w:rPr>
                <w:rFonts w:hint="eastAsia" w:ascii="华文中宋" w:hAnsi="华文中宋" w:eastAsia="华文中宋" w:cs="宋体"/>
                <w:color w:val="000000"/>
                <w:kern w:val="0"/>
                <w:sz w:val="18"/>
                <w:szCs w:val="18"/>
                <w:highlight w:val="none"/>
              </w:rPr>
              <w:t>5.1%</w:t>
            </w:r>
          </w:p>
        </w:tc>
      </w:tr>
    </w:tbl>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不同年龄的人观看演出的类型比例有较大差异。20岁以下的年轻人观看演唱会</w:t>
      </w:r>
      <w:r>
        <w:rPr>
          <w:rFonts w:hint="eastAsia" w:ascii="仿宋_GB2312" w:hAnsi="仿宋_GB2312" w:eastAsia="仿宋_GB2312" w:cs="仿宋_GB2312"/>
          <w:b w:val="0"/>
          <w:bCs w:val="0"/>
          <w:sz w:val="32"/>
          <w:szCs w:val="32"/>
          <w:highlight w:val="none"/>
          <w:lang w:val="en-US" w:eastAsia="zh-CN"/>
        </w:rPr>
        <w:t>/livehouse/音乐节</w:t>
      </w:r>
      <w:r>
        <w:rPr>
          <w:rFonts w:hint="eastAsia" w:ascii="仿宋_GB2312" w:hAnsi="仿宋_GB2312" w:eastAsia="仿宋_GB2312" w:cs="仿宋_GB2312"/>
          <w:b w:val="0"/>
          <w:bCs w:val="0"/>
          <w:sz w:val="32"/>
          <w:szCs w:val="32"/>
          <w:highlight w:val="none"/>
        </w:rPr>
        <w:t>的比例最大，20-30岁的观众观看音乐会较多，31-40岁的观众观看儿童</w:t>
      </w:r>
      <w:r>
        <w:rPr>
          <w:rFonts w:hint="eastAsia" w:ascii="仿宋_GB2312" w:hAnsi="仿宋_GB2312" w:eastAsia="仿宋_GB2312" w:cs="仿宋_GB2312"/>
          <w:b w:val="0"/>
          <w:bCs w:val="0"/>
          <w:sz w:val="32"/>
          <w:szCs w:val="32"/>
          <w:highlight w:val="none"/>
          <w:lang w:val="en-US" w:eastAsia="zh-CN"/>
        </w:rPr>
        <w:t>剧</w:t>
      </w:r>
      <w:r>
        <w:rPr>
          <w:rFonts w:hint="eastAsia" w:ascii="仿宋_GB2312" w:hAnsi="仿宋_GB2312" w:eastAsia="仿宋_GB2312" w:cs="仿宋_GB2312"/>
          <w:b w:val="0"/>
          <w:bCs w:val="0"/>
          <w:sz w:val="32"/>
          <w:szCs w:val="32"/>
          <w:highlight w:val="none"/>
        </w:rPr>
        <w:t>较多，60岁以上的观众观看</w:t>
      </w:r>
      <w:r>
        <w:rPr>
          <w:rFonts w:hint="eastAsia" w:ascii="仿宋_GB2312" w:hAnsi="仿宋_GB2312" w:eastAsia="仿宋_GB2312" w:cs="仿宋_GB2312"/>
          <w:b w:val="0"/>
          <w:bCs w:val="0"/>
          <w:sz w:val="32"/>
          <w:szCs w:val="32"/>
          <w:highlight w:val="none"/>
          <w:lang w:eastAsia="zh-CN"/>
        </w:rPr>
        <w:t>川</w:t>
      </w:r>
      <w:r>
        <w:rPr>
          <w:rFonts w:hint="eastAsia" w:ascii="仿宋_GB2312" w:hAnsi="仿宋_GB2312" w:eastAsia="仿宋_GB2312" w:cs="仿宋_GB2312"/>
          <w:b w:val="0"/>
          <w:bCs w:val="0"/>
          <w:sz w:val="32"/>
          <w:szCs w:val="32"/>
          <w:highlight w:val="none"/>
        </w:rPr>
        <w:t>剧的比例较大。</w: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9</w:t>
      </w:r>
      <w:r>
        <w:rPr>
          <w:rStyle w:val="19"/>
          <w:rFonts w:hint="eastAsia" w:ascii="华文中宋" w:hAnsi="华文中宋" w:eastAsia="华文中宋"/>
          <w:highlight w:val="none"/>
        </w:rPr>
        <w:t xml:space="preserve"> 不同年龄的人观看演出的</w:t>
      </w:r>
      <w:r>
        <w:rPr>
          <w:rStyle w:val="19"/>
          <w:rFonts w:hint="eastAsia" w:ascii="华文中宋" w:hAnsi="华文中宋" w:eastAsia="华文中宋"/>
          <w:highlight w:val="none"/>
          <w:lang w:val="en-US" w:eastAsia="zh-CN"/>
        </w:rPr>
        <w:t>演出</w:t>
      </w:r>
      <w:r>
        <w:rPr>
          <w:rStyle w:val="19"/>
          <w:rFonts w:hint="eastAsia" w:ascii="华文中宋" w:hAnsi="华文中宋" w:eastAsia="华文中宋"/>
          <w:highlight w:val="none"/>
        </w:rPr>
        <w:t>类型</w:t>
      </w:r>
    </w:p>
    <w:tbl>
      <w:tblPr>
        <w:tblStyle w:val="13"/>
        <w:tblW w:w="7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11"/>
        <w:gridCol w:w="1112"/>
        <w:gridCol w:w="1112"/>
        <w:gridCol w:w="1111"/>
        <w:gridCol w:w="111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162" w:type="dxa"/>
            <w:shd w:val="clear" w:color="auto" w:fill="C0C0C0"/>
            <w:noWrap/>
            <w:vAlign w:val="center"/>
          </w:tcPr>
          <w:p>
            <w:pPr>
              <w:widowControl/>
              <w:jc w:val="center"/>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lang w:val="en-US" w:eastAsia="zh-CN"/>
              </w:rPr>
              <w:t>演出</w:t>
            </w:r>
            <w:r>
              <w:rPr>
                <w:rFonts w:hint="eastAsia" w:ascii="华文中宋" w:hAnsi="华文中宋" w:eastAsia="华文中宋" w:cs="宋体"/>
                <w:b/>
                <w:color w:val="000000"/>
                <w:kern w:val="0"/>
                <w:sz w:val="18"/>
                <w:szCs w:val="18"/>
                <w:highlight w:val="none"/>
              </w:rPr>
              <w:t>类型</w:t>
            </w:r>
          </w:p>
        </w:tc>
        <w:tc>
          <w:tcPr>
            <w:tcW w:w="1111"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20岁以下</w:t>
            </w:r>
          </w:p>
        </w:tc>
        <w:tc>
          <w:tcPr>
            <w:tcW w:w="1112"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20-30岁</w:t>
            </w:r>
          </w:p>
        </w:tc>
        <w:tc>
          <w:tcPr>
            <w:tcW w:w="1112"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31-40岁</w:t>
            </w:r>
          </w:p>
        </w:tc>
        <w:tc>
          <w:tcPr>
            <w:tcW w:w="1111"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41-50岁</w:t>
            </w:r>
          </w:p>
        </w:tc>
        <w:tc>
          <w:tcPr>
            <w:tcW w:w="1112" w:type="dxa"/>
            <w:shd w:val="clear" w:color="auto" w:fill="C0C0C0"/>
            <w:noWrap/>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51-60岁</w:t>
            </w:r>
          </w:p>
        </w:tc>
        <w:tc>
          <w:tcPr>
            <w:tcW w:w="1112" w:type="dxa"/>
            <w:shd w:val="clear" w:color="auto" w:fill="C0C0C0"/>
            <w:noWrap/>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60岁以上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演唱会</w:t>
            </w:r>
          </w:p>
        </w:tc>
        <w:tc>
          <w:tcPr>
            <w:tcW w:w="1111"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54.5%</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31.4%</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20.9%</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48.0%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60.4%</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音乐会</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45.5%</w:t>
            </w:r>
          </w:p>
        </w:tc>
        <w:tc>
          <w:tcPr>
            <w:tcW w:w="1112"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37.8%</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32.7%</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38.0%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41.7%</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话剧</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36.4%</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34.9%</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28.2%</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18.0%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16.7%</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歌舞</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18.2%</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18.6%</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30.0%</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24.0%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27.1%</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hint="eastAsia" w:ascii="华文中宋" w:hAnsi="华文中宋" w:eastAsia="华文中宋" w:cs="宋体"/>
                <w:color w:val="000000"/>
                <w:sz w:val="18"/>
                <w:szCs w:val="18"/>
                <w:highlight w:val="none"/>
                <w:lang w:eastAsia="zh-CN"/>
              </w:rPr>
            </w:pPr>
            <w:r>
              <w:rPr>
                <w:rFonts w:hint="eastAsia" w:ascii="华文中宋" w:hAnsi="华文中宋" w:eastAsia="华文中宋"/>
                <w:color w:val="000000"/>
                <w:sz w:val="18"/>
                <w:szCs w:val="18"/>
                <w:highlight w:val="none"/>
              </w:rPr>
              <w:t>儿童</w:t>
            </w:r>
            <w:r>
              <w:rPr>
                <w:rFonts w:hint="eastAsia" w:ascii="华文中宋" w:hAnsi="华文中宋" w:eastAsia="华文中宋"/>
                <w:color w:val="000000"/>
                <w:sz w:val="18"/>
                <w:szCs w:val="18"/>
                <w:highlight w:val="none"/>
                <w:lang w:val="en-US" w:eastAsia="zh-CN"/>
              </w:rPr>
              <w:t>剧</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18.2%</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12.2%</w:t>
            </w:r>
          </w:p>
        </w:tc>
        <w:tc>
          <w:tcPr>
            <w:tcW w:w="1112"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40.0%</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4.2%</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歌剧</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9.1%</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5.5%</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12.0%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10.4%</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杂技魔术</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9.1%</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5.2%</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5.5%</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6.3%</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lang w:eastAsia="zh-CN"/>
              </w:rPr>
              <w:t>川</w:t>
            </w:r>
            <w:r>
              <w:rPr>
                <w:rFonts w:hint="eastAsia" w:ascii="华文中宋" w:hAnsi="华文中宋" w:eastAsia="华文中宋"/>
                <w:color w:val="000000"/>
                <w:sz w:val="18"/>
                <w:szCs w:val="18"/>
                <w:highlight w:val="none"/>
              </w:rPr>
              <w:t>剧</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9.1%</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6.4%</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14.0%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41.7%</w:t>
            </w:r>
          </w:p>
        </w:tc>
        <w:tc>
          <w:tcPr>
            <w:tcW w:w="111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地方戏曲</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9.1%</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8.1%</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6.4%</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18.8%</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综艺类</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9.1%</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15.7%</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15.5%</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12.5%</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相声</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9.1%</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18.6%</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11.8%</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16.0%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8.3%</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其他</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5.8%</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2.7%</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2.1%</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3.4%</w:t>
            </w:r>
          </w:p>
        </w:tc>
      </w:tr>
    </w:tbl>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57" w:name="_Toc245558666"/>
      <w:r>
        <w:rPr>
          <w:rFonts w:hint="eastAsia" w:ascii="仿宋_GB2312" w:hAnsi="仿宋_GB2312" w:eastAsia="仿宋_GB2312" w:cs="仿宋_GB2312"/>
          <w:b/>
          <w:bCs/>
          <w:sz w:val="32"/>
          <w:szCs w:val="32"/>
          <w:highlight w:val="none"/>
        </w:rPr>
        <w:t>3．观看演出的支出：64.8</w:t>
      </w:r>
      <w:r>
        <w:rPr>
          <w:rFonts w:hint="eastAsia" w:ascii="仿宋_GB2312" w:hAnsi="仿宋_GB2312" w:eastAsia="仿宋_GB2312" w:cs="仿宋_GB2312"/>
          <w:b/>
          <w:bCs/>
          <w:sz w:val="32"/>
          <w:szCs w:val="32"/>
          <w:highlight w:val="none"/>
          <w:lang w:val="en-US" w:eastAsia="zh-CN"/>
        </w:rPr>
        <w:t>0</w:t>
      </w:r>
      <w:r>
        <w:rPr>
          <w:rFonts w:hint="eastAsia" w:ascii="仿宋_GB2312" w:hAnsi="仿宋_GB2312" w:eastAsia="仿宋_GB2312" w:cs="仿宋_GB2312"/>
          <w:b/>
          <w:bCs/>
          <w:sz w:val="32"/>
          <w:szCs w:val="32"/>
          <w:highlight w:val="none"/>
        </w:rPr>
        <w:t>%的观众20</w:t>
      </w:r>
      <w:r>
        <w:rPr>
          <w:rFonts w:hint="eastAsia" w:ascii="仿宋_GB2312" w:hAnsi="仿宋_GB2312" w:eastAsia="仿宋_GB2312" w:cs="仿宋_GB2312"/>
          <w:b/>
          <w:bCs/>
          <w:sz w:val="32"/>
          <w:szCs w:val="32"/>
          <w:highlight w:val="none"/>
          <w:lang w:val="en-US" w:eastAsia="zh-CN"/>
        </w:rPr>
        <w:t>21</w:t>
      </w:r>
      <w:r>
        <w:rPr>
          <w:rFonts w:hint="eastAsia" w:ascii="仿宋_GB2312" w:hAnsi="仿宋_GB2312" w:eastAsia="仿宋_GB2312" w:cs="仿宋_GB2312"/>
          <w:b/>
          <w:bCs/>
          <w:sz w:val="32"/>
          <w:szCs w:val="32"/>
          <w:highlight w:val="none"/>
        </w:rPr>
        <w:t>年支出在600元以下</w:t>
      </w:r>
      <w:bookmarkEnd w:id="57"/>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调查显示，大多数观众在20</w:t>
      </w:r>
      <w:r>
        <w:rPr>
          <w:rFonts w:hint="eastAsia" w:ascii="仿宋_GB2312" w:hAnsi="仿宋_GB2312" w:eastAsia="仿宋_GB2312" w:cs="仿宋_GB2312"/>
          <w:b w:val="0"/>
          <w:bCs w:val="0"/>
          <w:sz w:val="32"/>
          <w:szCs w:val="32"/>
          <w:highlight w:val="none"/>
          <w:lang w:val="en-US" w:eastAsia="zh-CN"/>
        </w:rPr>
        <w:t>21</w:t>
      </w:r>
      <w:r>
        <w:rPr>
          <w:rFonts w:hint="eastAsia" w:ascii="仿宋_GB2312" w:hAnsi="仿宋_GB2312" w:eastAsia="仿宋_GB2312" w:cs="仿宋_GB2312"/>
          <w:b w:val="0"/>
          <w:bCs w:val="0"/>
          <w:sz w:val="32"/>
          <w:szCs w:val="32"/>
          <w:highlight w:val="none"/>
        </w:rPr>
        <w:t>年观看演出的费用维持在600元以下，占到总体的64.8</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%，其中300元以下的观众比例最大，为35.0%，其次是300-599元的观众，占29.8</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%。另外有11.7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%的观众观看演出的费用达到了1200元以上。</w:t>
      </w:r>
    </w:p>
    <w:p>
      <w:pPr>
        <w:jc w:val="center"/>
        <w:rPr>
          <w:rFonts w:hint="eastAsia" w:ascii="华文中宋" w:hAnsi="华文中宋" w:eastAsia="华文中宋"/>
          <w:highlight w:val="none"/>
        </w:rPr>
      </w:pPr>
      <w:r>
        <w:rPr>
          <w:rFonts w:ascii="华文中宋" w:hAnsi="华文中宋" w:eastAsia="华文中宋"/>
          <w:highlight w:val="none"/>
        </w:rPr>
        <w:object>
          <v:shape id="_x0000_i1030" o:spt="75" type="#_x0000_t75" style="height:176.8pt;width:302.8pt;" o:ole="t" filled="f" o:preferrelative="f" stroked="f" coordsize="21600,21600">
            <v:path/>
            <v:fill on="f" alignshape="1" focussize="0,0"/>
            <v:stroke on="f"/>
            <v:imagedata r:id="rId60" grayscale="f" bilevel="f" o:title=""/>
            <o:lock v:ext="edit" aspectratio="f"/>
            <w10:wrap type="none"/>
            <w10:anchorlock/>
          </v:shape>
          <o:OLEObject Type="Embed" ProgID="MSGraph.Chart.8" ShapeID="_x0000_i1030" DrawAspect="Content" ObjectID="_1468075731" r:id="rId59">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-1</w:t>
      </w:r>
      <w:r>
        <w:rPr>
          <w:rStyle w:val="19"/>
          <w:rFonts w:hint="eastAsia" w:ascii="华文中宋" w:hAnsi="华文中宋" w:eastAsia="华文中宋"/>
          <w:highlight w:val="none"/>
          <w:lang w:val="en-US" w:eastAsia="zh-CN"/>
        </w:rPr>
        <w:t>0</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val="en-US" w:eastAsia="zh-CN"/>
        </w:rPr>
        <w:t>2021</w:t>
      </w:r>
      <w:r>
        <w:rPr>
          <w:rStyle w:val="19"/>
          <w:rFonts w:hint="eastAsia" w:ascii="华文中宋" w:hAnsi="华文中宋" w:eastAsia="华文中宋"/>
          <w:highlight w:val="none"/>
        </w:rPr>
        <w:t>年</w:t>
      </w:r>
      <w:r>
        <w:rPr>
          <w:rStyle w:val="19"/>
          <w:rFonts w:hint="eastAsia" w:ascii="华文中宋" w:hAnsi="华文中宋" w:eastAsia="华文中宋"/>
          <w:highlight w:val="none"/>
          <w:lang w:val="en-US" w:eastAsia="zh-CN"/>
        </w:rPr>
        <w:t>四川观众</w:t>
      </w:r>
      <w:r>
        <w:rPr>
          <w:rStyle w:val="19"/>
          <w:rFonts w:hint="eastAsia" w:ascii="华文中宋" w:hAnsi="华文中宋" w:eastAsia="华文中宋"/>
          <w:highlight w:val="none"/>
        </w:rPr>
        <w:t>观看演出的费用</w:t>
      </w:r>
    </w:p>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58" w:name="_Toc245558667"/>
      <w:r>
        <w:rPr>
          <w:rFonts w:hint="eastAsia" w:ascii="仿宋_GB2312" w:hAnsi="仿宋_GB2312" w:eastAsia="仿宋_GB2312" w:cs="仿宋_GB2312"/>
          <w:b/>
          <w:bCs/>
          <w:sz w:val="32"/>
          <w:szCs w:val="32"/>
          <w:highlight w:val="none"/>
        </w:rPr>
        <w:t>4．获取演出信息的渠道：网络是观众获取演出信息最主要的渠道</w:t>
      </w:r>
      <w:bookmarkEnd w:id="58"/>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从获取演出信息的渠道来看，大多数的观众主要通过网络来获取演出信息，选择这类渠道的观众占观众总体的55.7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%。其次家人或朋友推荐、报纸杂志、电视报道也是十分重要的获取演出信息的渠道，分别占据了观众总体的37.6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%、36.8</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%、28.2</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%。此外地铁或户外广告、宣传单、旅行社等渠道也占据了一定比例。</w:t>
      </w:r>
    </w:p>
    <w:p>
      <w:pPr>
        <w:jc w:val="center"/>
        <w:rPr>
          <w:rFonts w:hint="eastAsia" w:ascii="华文中宋" w:hAnsi="华文中宋" w:eastAsia="华文中宋"/>
          <w:highlight w:val="none"/>
        </w:rPr>
      </w:pPr>
      <w:r>
        <w:rPr>
          <w:rFonts w:ascii="华文中宋" w:hAnsi="华文中宋" w:eastAsia="华文中宋"/>
          <w:highlight w:val="none"/>
        </w:rPr>
        <w:object>
          <v:shape id="_x0000_i1031" o:spt="75" type="#_x0000_t75" style="height:198.8pt;width:244.4pt;" o:ole="t" filled="f" o:preferrelative="t" stroked="f" coordsize="21600,21600">
            <v:path/>
            <v:fill on="f" alignshape="1" focussize="0,0"/>
            <v:stroke on="f"/>
            <v:imagedata r:id="rId62" grayscale="f" bilevel="f" o:title=""/>
            <o:lock v:ext="edit" aspectratio="t"/>
            <w10:wrap type="none"/>
            <w10:anchorlock/>
          </v:shape>
          <o:OLEObject Type="Embed" ProgID="MSGraph.Chart.8" ShapeID="_x0000_i1031" DrawAspect="Content" ObjectID="_1468075732" r:id="rId61">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-1</w:t>
      </w:r>
      <w:r>
        <w:rPr>
          <w:rStyle w:val="19"/>
          <w:rFonts w:hint="eastAsia" w:ascii="华文中宋" w:hAnsi="华文中宋" w:eastAsia="华文中宋"/>
          <w:highlight w:val="none"/>
          <w:lang w:val="en-US" w:eastAsia="zh-CN"/>
        </w:rPr>
        <w:t xml:space="preserve">1 </w:t>
      </w:r>
      <w:r>
        <w:rPr>
          <w:rStyle w:val="19"/>
          <w:rFonts w:hint="eastAsia" w:ascii="华文中宋" w:hAnsi="华文中宋" w:eastAsia="华文中宋"/>
          <w:highlight w:val="none"/>
        </w:rPr>
        <w:t xml:space="preserve"> 获取演出信息的渠道</w:t>
      </w:r>
    </w:p>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59" w:name="_Toc245558668"/>
      <w:r>
        <w:rPr>
          <w:rFonts w:hint="eastAsia" w:ascii="仿宋_GB2312" w:hAnsi="仿宋_GB2312" w:eastAsia="仿宋_GB2312" w:cs="仿宋_GB2312"/>
          <w:b/>
          <w:bCs/>
          <w:sz w:val="32"/>
          <w:szCs w:val="32"/>
          <w:highlight w:val="none"/>
        </w:rPr>
        <w:t>5．演出门票来源：自费购票的观众比例只有</w:t>
      </w:r>
      <w:r>
        <w:rPr>
          <w:rFonts w:hint="eastAsia" w:ascii="仿宋_GB2312" w:hAnsi="仿宋_GB2312" w:eastAsia="仿宋_GB2312" w:cs="仿宋_GB2312"/>
          <w:b/>
          <w:bCs/>
          <w:sz w:val="32"/>
          <w:szCs w:val="32"/>
          <w:highlight w:val="none"/>
          <w:lang w:val="en-US" w:eastAsia="zh-CN"/>
        </w:rPr>
        <w:t>60.20</w:t>
      </w:r>
      <w:r>
        <w:rPr>
          <w:rFonts w:hint="eastAsia" w:ascii="仿宋_GB2312" w:hAnsi="仿宋_GB2312" w:eastAsia="仿宋_GB2312" w:cs="仿宋_GB2312"/>
          <w:b/>
          <w:bCs/>
          <w:sz w:val="32"/>
          <w:szCs w:val="32"/>
          <w:highlight w:val="none"/>
        </w:rPr>
        <w:t>%</w:t>
      </w:r>
      <w:bookmarkEnd w:id="59"/>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自费购票比例只有一半左右。在对演出门票的来源进行调查时，只有</w:t>
      </w:r>
      <w:r>
        <w:rPr>
          <w:rFonts w:hint="eastAsia" w:ascii="仿宋_GB2312" w:hAnsi="仿宋_GB2312" w:eastAsia="仿宋_GB2312" w:cs="仿宋_GB2312"/>
          <w:b w:val="0"/>
          <w:bCs w:val="0"/>
          <w:sz w:val="32"/>
          <w:szCs w:val="32"/>
          <w:highlight w:val="none"/>
          <w:lang w:val="en-US" w:eastAsia="zh-CN"/>
        </w:rPr>
        <w:t>60.20</w:t>
      </w:r>
      <w:r>
        <w:rPr>
          <w:rFonts w:hint="eastAsia" w:ascii="仿宋_GB2312" w:hAnsi="仿宋_GB2312" w:eastAsia="仿宋_GB2312" w:cs="仿宋_GB2312"/>
          <w:b w:val="0"/>
          <w:bCs w:val="0"/>
          <w:sz w:val="32"/>
          <w:szCs w:val="32"/>
          <w:highlight w:val="none"/>
        </w:rPr>
        <w:t>%的观众表示是自己购买门票，而</w:t>
      </w:r>
      <w:r>
        <w:rPr>
          <w:rFonts w:hint="eastAsia" w:ascii="仿宋_GB2312" w:hAnsi="仿宋_GB2312" w:eastAsia="仿宋_GB2312" w:cs="仿宋_GB2312"/>
          <w:b w:val="0"/>
          <w:bCs w:val="0"/>
          <w:sz w:val="32"/>
          <w:szCs w:val="32"/>
          <w:highlight w:val="none"/>
          <w:lang w:val="en-US" w:eastAsia="zh-CN"/>
        </w:rPr>
        <w:t>26</w:t>
      </w:r>
      <w:r>
        <w:rPr>
          <w:rFonts w:hint="eastAsia" w:ascii="仿宋_GB2312" w:hAnsi="仿宋_GB2312" w:eastAsia="仿宋_GB2312" w:cs="仿宋_GB2312"/>
          <w:b w:val="0"/>
          <w:bCs w:val="0"/>
          <w:sz w:val="32"/>
          <w:szCs w:val="32"/>
          <w:highlight w:val="none"/>
        </w:rPr>
        <w:t>.5</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%的观众观看演出门票是别人赠送。这一数据从一个侧面印证了</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演出市场的赠票现象确实较为普遍。另有</w:t>
      </w:r>
      <w:r>
        <w:rPr>
          <w:rFonts w:hint="eastAsia" w:ascii="仿宋_GB2312" w:hAnsi="仿宋_GB2312" w:eastAsia="仿宋_GB2312" w:cs="仿宋_GB2312"/>
          <w:b w:val="0"/>
          <w:bCs w:val="0"/>
          <w:sz w:val="32"/>
          <w:szCs w:val="32"/>
          <w:highlight w:val="none"/>
          <w:lang w:val="en-US" w:eastAsia="zh-CN"/>
        </w:rPr>
        <w:t>11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30</w:t>
      </w:r>
      <w:r>
        <w:rPr>
          <w:rFonts w:hint="eastAsia" w:ascii="仿宋_GB2312" w:hAnsi="仿宋_GB2312" w:eastAsia="仿宋_GB2312" w:cs="仿宋_GB2312"/>
          <w:b w:val="0"/>
          <w:bCs w:val="0"/>
          <w:sz w:val="32"/>
          <w:szCs w:val="32"/>
          <w:highlight w:val="none"/>
        </w:rPr>
        <w:t>%的观众表示是公司或单位组织观看，这部分群体应可归入团体购票的范畴。这样赠票和团体购票的比例就达到了</w:t>
      </w:r>
      <w:r>
        <w:rPr>
          <w:rFonts w:hint="eastAsia" w:ascii="仿宋_GB2312" w:hAnsi="仿宋_GB2312" w:eastAsia="仿宋_GB2312" w:cs="仿宋_GB2312"/>
          <w:b w:val="0"/>
          <w:bCs w:val="0"/>
          <w:sz w:val="32"/>
          <w:szCs w:val="32"/>
          <w:highlight w:val="none"/>
          <w:lang w:val="en-US" w:eastAsia="zh-CN"/>
        </w:rPr>
        <w:t>40</w:t>
      </w:r>
      <w:r>
        <w:rPr>
          <w:rFonts w:hint="eastAsia" w:ascii="仿宋_GB2312" w:hAnsi="仿宋_GB2312" w:eastAsia="仿宋_GB2312" w:cs="仿宋_GB2312"/>
          <w:b w:val="0"/>
          <w:bCs w:val="0"/>
          <w:sz w:val="32"/>
          <w:szCs w:val="32"/>
          <w:highlight w:val="none"/>
        </w:rPr>
        <w:t>%左右，这是一个相当大的数字。</w:t>
      </w:r>
    </w:p>
    <w:p>
      <w:pPr>
        <w:pStyle w:val="9"/>
        <w:ind w:left="420" w:hanging="420"/>
        <w:jc w:val="center"/>
        <w:rPr>
          <w:rFonts w:hint="eastAsia" w:ascii="华文中宋" w:hAnsi="华文中宋" w:eastAsia="华文中宋"/>
          <w:highlight w:val="none"/>
        </w:rPr>
      </w:pPr>
      <w:r>
        <w:rPr>
          <w:rFonts w:ascii="华文中宋" w:hAnsi="华文中宋" w:eastAsia="华文中宋"/>
          <w:highlight w:val="none"/>
        </w:rPr>
        <w:object>
          <v:shape id="_x0000_i1032" o:spt="75" type="#_x0000_t75" style="height:179.1pt;width:305.1pt;" o:ole="t" filled="f" o:preferrelative="f" stroked="f" coordsize="21600,21600">
            <v:path/>
            <v:fill on="f" focussize="0,0"/>
            <v:stroke on="f"/>
            <v:imagedata r:id="rId64" o:title=""/>
            <o:lock v:ext="edit" aspectratio="f"/>
            <w10:wrap type="none"/>
            <w10:anchorlock/>
          </v:shape>
          <o:OLEObject Type="Embed" ProgID="MSGraph.Chart.8" ShapeID="_x0000_i1032" DrawAspect="Content" ObjectID="_1468075733" r:id="rId63">
            <o:LockedField>false</o:LockedField>
          </o:OLEObject>
        </w:object>
      </w:r>
    </w:p>
    <w:p>
      <w:pPr>
        <w:pStyle w:val="18"/>
        <w:spacing w:after="156" w:afterLines="50"/>
        <w:ind w:left="419" w:hanging="62"/>
        <w:jc w:val="center"/>
        <w:rPr>
          <w:rFonts w:hint="eastAsia" w:ascii="仿宋_GB2312" w:hAnsi="仿宋_GB2312" w:eastAsia="仿宋_GB2312" w:cs="仿宋_GB2312"/>
          <w:b w:val="0"/>
          <w:bCs w:val="0"/>
          <w:sz w:val="32"/>
          <w:szCs w:val="32"/>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-1</w:t>
      </w:r>
      <w:r>
        <w:rPr>
          <w:rStyle w:val="19"/>
          <w:rFonts w:hint="eastAsia" w:ascii="华文中宋" w:hAnsi="华文中宋" w:eastAsia="华文中宋"/>
          <w:highlight w:val="none"/>
          <w:lang w:val="en-US" w:eastAsia="zh-CN"/>
        </w:rPr>
        <w:t xml:space="preserve">2 </w:t>
      </w:r>
      <w:r>
        <w:rPr>
          <w:rStyle w:val="19"/>
          <w:rFonts w:hint="eastAsia" w:ascii="华文中宋" w:hAnsi="华文中宋" w:eastAsia="华文中宋"/>
          <w:highlight w:val="none"/>
        </w:rPr>
        <w:t xml:space="preserve"> 通过何种方式获得演出门票</w:t>
      </w: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学生、企业管理人员、机关/事业单位职员、个体经营者自费购票的比例较高。不同职业的观众获得演出门票的途径大体相当，但学生、企业管理人员、机关/事业单位职员、个体经营者自费购票的比例较高，而机关/事业单位管理人员、企业职员、待业/下岗/离退休人员获得赠票的比例高于其他职业的人群。</w:t>
      </w:r>
    </w:p>
    <w:p>
      <w:pPr>
        <w:pStyle w:val="18"/>
        <w:spacing w:after="156" w:afterLines="50"/>
        <w:ind w:left="419" w:hanging="62"/>
        <w:jc w:val="center"/>
        <w:rPr>
          <w:rStyle w:val="19"/>
          <w:rFonts w:hint="eastAsia" w:ascii="华文中宋" w:hAnsi="华文中宋" w:eastAsia="华文中宋"/>
          <w:highlight w:val="none"/>
        </w:rPr>
      </w:pP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-1</w:t>
      </w:r>
      <w:r>
        <w:rPr>
          <w:rStyle w:val="19"/>
          <w:rFonts w:hint="eastAsia" w:ascii="华文中宋" w:hAnsi="华文中宋" w:eastAsia="华文中宋"/>
          <w:highlight w:val="none"/>
          <w:lang w:val="en-US" w:eastAsia="zh-CN"/>
        </w:rPr>
        <w:t xml:space="preserve">3 </w:t>
      </w:r>
      <w:r>
        <w:rPr>
          <w:rStyle w:val="19"/>
          <w:rFonts w:hint="eastAsia" w:ascii="华文中宋" w:hAnsi="华文中宋" w:eastAsia="华文中宋"/>
          <w:highlight w:val="none"/>
        </w:rPr>
        <w:t xml:space="preserve"> 不同职业的人通过何种方式获得演出门票</w:t>
      </w:r>
    </w:p>
    <w:tbl>
      <w:tblPr>
        <w:tblStyle w:val="13"/>
        <w:tblW w:w="8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789"/>
        <w:gridCol w:w="790"/>
        <w:gridCol w:w="790"/>
        <w:gridCol w:w="790"/>
        <w:gridCol w:w="789"/>
        <w:gridCol w:w="790"/>
        <w:gridCol w:w="790"/>
        <w:gridCol w:w="790"/>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162" w:type="dxa"/>
            <w:shd w:val="clear" w:color="auto" w:fill="C0C0C0"/>
            <w:noWrap/>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影响决策的因素</w:t>
            </w:r>
          </w:p>
        </w:tc>
        <w:tc>
          <w:tcPr>
            <w:tcW w:w="789"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学生</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政府机关/事业单位管理人员</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企业管理人员</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教师</w:t>
            </w:r>
          </w:p>
        </w:tc>
        <w:tc>
          <w:tcPr>
            <w:tcW w:w="789"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政府机关/事业单位职员</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企业单位职员</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个体经营者</w:t>
            </w:r>
          </w:p>
        </w:tc>
        <w:tc>
          <w:tcPr>
            <w:tcW w:w="790" w:type="dxa"/>
            <w:shd w:val="clear" w:color="auto" w:fill="C0C0C0"/>
            <w:noWrap/>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待业/下岗/离退休</w:t>
            </w:r>
          </w:p>
        </w:tc>
        <w:tc>
          <w:tcPr>
            <w:tcW w:w="790" w:type="dxa"/>
            <w:shd w:val="clear" w:color="auto" w:fill="C0C0C0"/>
            <w:noWrap/>
            <w:vAlign w:val="center"/>
          </w:tcPr>
          <w:p>
            <w:pPr>
              <w:spacing w:line="0" w:lineRule="atLeast"/>
              <w:jc w:val="center"/>
              <w:rPr>
                <w:rFonts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spacing w:line="0" w:lineRule="atLeast"/>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自己购买</w:t>
            </w:r>
          </w:p>
        </w:tc>
        <w:tc>
          <w:tcPr>
            <w:tcW w:w="789" w:type="dxa"/>
            <w:shd w:val="clear" w:color="auto" w:fill="C0C0C0"/>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66.7%</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49.3%</w:t>
            </w:r>
          </w:p>
        </w:tc>
        <w:tc>
          <w:tcPr>
            <w:tcW w:w="790" w:type="dxa"/>
            <w:shd w:val="clear" w:color="auto" w:fill="C0C0C0"/>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65.2%</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53.0%</w:t>
            </w:r>
          </w:p>
        </w:tc>
        <w:tc>
          <w:tcPr>
            <w:tcW w:w="789" w:type="dxa"/>
            <w:shd w:val="clear" w:color="auto" w:fill="C0C0C0"/>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63.6%</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45.8%</w:t>
            </w:r>
          </w:p>
        </w:tc>
        <w:tc>
          <w:tcPr>
            <w:tcW w:w="790" w:type="dxa"/>
            <w:shd w:val="clear" w:color="auto" w:fill="C0C0C0"/>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64.3%</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50.0%</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spacing w:line="0" w:lineRule="atLeast"/>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别人赠送</w:t>
            </w:r>
          </w:p>
        </w:tc>
        <w:tc>
          <w:tcPr>
            <w:tcW w:w="789"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24.1%</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35.2%</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23.9%</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31.8%</w:t>
            </w:r>
          </w:p>
        </w:tc>
        <w:tc>
          <w:tcPr>
            <w:tcW w:w="789"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27.3%</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39.3%</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25.0%</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38.5%</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spacing w:line="0" w:lineRule="atLeast"/>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公司或单位组织观看</w:t>
            </w:r>
          </w:p>
        </w:tc>
        <w:tc>
          <w:tcPr>
            <w:tcW w:w="789"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5.6%</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9.9%</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8.7%</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15.2%</w:t>
            </w:r>
          </w:p>
        </w:tc>
        <w:tc>
          <w:tcPr>
            <w:tcW w:w="789"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6.8%</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13.1%</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7.1%</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7.7%</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spacing w:line="0" w:lineRule="atLeast"/>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其他</w:t>
            </w:r>
          </w:p>
        </w:tc>
        <w:tc>
          <w:tcPr>
            <w:tcW w:w="789"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3.7%</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5.6%</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2.2%</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c>
          <w:tcPr>
            <w:tcW w:w="789"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2.3%</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1.9%</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3.6%</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3.8%</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spacing w:line="0" w:lineRule="atLeast"/>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总计</w:t>
            </w:r>
          </w:p>
        </w:tc>
        <w:tc>
          <w:tcPr>
            <w:tcW w:w="789"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100.0%</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100.0%</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100.0%</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100.0%</w:t>
            </w:r>
          </w:p>
        </w:tc>
        <w:tc>
          <w:tcPr>
            <w:tcW w:w="789"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100.0%</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100.0%</w:t>
            </w:r>
          </w:p>
        </w:tc>
        <w:tc>
          <w:tcPr>
            <w:tcW w:w="790" w:type="dxa"/>
            <w:shd w:val="clear" w:color="auto" w:fill="auto"/>
            <w:noWrap w:val="0"/>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100.0%</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100.0%</w:t>
            </w:r>
          </w:p>
        </w:tc>
        <w:tc>
          <w:tcPr>
            <w:tcW w:w="790" w:type="dxa"/>
            <w:shd w:val="clear" w:color="auto" w:fill="auto"/>
            <w:noWrap/>
            <w:vAlign w:val="center"/>
          </w:tcPr>
          <w:p>
            <w:pPr>
              <w:spacing w:line="0" w:lineRule="atLeast"/>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100.0%</w:t>
            </w:r>
          </w:p>
        </w:tc>
      </w:tr>
    </w:tbl>
    <w:p>
      <w:pPr>
        <w:rPr>
          <w:rFonts w:hint="eastAsia" w:ascii="仿宋_GB2312" w:hAnsi="仿宋_GB2312" w:eastAsia="仿宋_GB2312" w:cs="仿宋_GB2312"/>
          <w:b w:val="0"/>
          <w:bCs w:val="0"/>
          <w:kern w:val="2"/>
          <w:sz w:val="32"/>
          <w:szCs w:val="32"/>
          <w:highlight w:val="none"/>
          <w:lang w:val="en-US" w:eastAsia="zh-CN" w:bidi="ar-SA"/>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kern w:val="2"/>
          <w:sz w:val="32"/>
          <w:szCs w:val="32"/>
          <w:highlight w:val="none"/>
          <w:lang w:val="en-US" w:eastAsia="zh-CN" w:bidi="ar-SA"/>
        </w:rPr>
      </w:pPr>
      <w:bookmarkStart w:id="60" w:name="_Toc245558669"/>
      <w:r>
        <w:rPr>
          <w:rFonts w:hint="eastAsia" w:ascii="仿宋_GB2312" w:hAnsi="仿宋_GB2312" w:eastAsia="仿宋_GB2312" w:cs="仿宋_GB2312"/>
          <w:b/>
          <w:bCs/>
          <w:kern w:val="2"/>
          <w:sz w:val="32"/>
          <w:szCs w:val="32"/>
          <w:highlight w:val="none"/>
          <w:lang w:val="en-US" w:eastAsia="zh-CN" w:bidi="ar-SA"/>
        </w:rPr>
        <w:t>6．演出购票方式：网络订票、售票窗口购票、电话订票是最主要的购票方式</w:t>
      </w:r>
      <w:bookmarkEnd w:id="60"/>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color w:val="FF0000"/>
          <w:sz w:val="32"/>
          <w:szCs w:val="32"/>
          <w:highlight w:val="none"/>
          <w:u w:val="single"/>
        </w:rPr>
      </w:pPr>
      <w:r>
        <w:rPr>
          <w:rFonts w:hint="eastAsia" w:ascii="仿宋_GB2312" w:hAnsi="仿宋_GB2312" w:eastAsia="仿宋_GB2312" w:cs="仿宋_GB2312"/>
          <w:b w:val="0"/>
          <w:bCs w:val="0"/>
          <w:kern w:val="2"/>
          <w:sz w:val="32"/>
          <w:szCs w:val="32"/>
          <w:highlight w:val="none"/>
          <w:lang w:val="en-US" w:eastAsia="zh-CN" w:bidi="ar-SA"/>
        </w:rPr>
        <w:t>调查显示，大多数的观众通过网络订票的方式购买门票，占总体的的61.40%。通过售票窗口现场购买和电话订票的观众也占据了较大比例，占观众总体的30.20%。另有7.30%的观众是通过向私人购买的方式获得门票，这部分应包括了向“黄牛党”购票的情况，这表明非常规购票渠道在四川省演出市场是客观存在的。</w:t>
      </w:r>
    </w:p>
    <w:p>
      <w:pPr>
        <w:jc w:val="center"/>
        <w:rPr>
          <w:rFonts w:hint="eastAsia" w:ascii="华文中宋" w:hAnsi="华文中宋" w:eastAsia="华文中宋"/>
          <w:highlight w:val="none"/>
        </w:rPr>
      </w:pPr>
      <w:r>
        <w:rPr>
          <w:highlight w:val="none"/>
        </w:rPr>
        <w:drawing>
          <wp:inline distT="0" distB="0" distL="114300" distR="114300">
            <wp:extent cx="4246880" cy="2420620"/>
            <wp:effectExtent l="4445" t="4445" r="15875" b="13335"/>
            <wp:docPr id="60" name="图表 3" descr="7b0a202020202263686172745265734964223a202232303335323639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18"/>
        <w:spacing w:after="156" w:afterLines="50"/>
        <w:ind w:left="419" w:hanging="62"/>
        <w:jc w:val="center"/>
        <w:rPr>
          <w:rFonts w:hint="eastAsia" w:ascii="华文中宋" w:hAnsi="华文中宋" w:eastAsia="华文中宋"/>
          <w:b/>
          <w:szCs w:val="21"/>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-1</w:t>
      </w:r>
      <w:r>
        <w:rPr>
          <w:rStyle w:val="19"/>
          <w:rFonts w:hint="eastAsia" w:ascii="华文中宋" w:hAnsi="华文中宋" w:eastAsia="华文中宋"/>
          <w:highlight w:val="none"/>
          <w:lang w:val="en-US" w:eastAsia="zh-CN"/>
        </w:rPr>
        <w:t xml:space="preserve">4  </w:t>
      </w:r>
      <w:r>
        <w:rPr>
          <w:rStyle w:val="19"/>
          <w:rFonts w:hint="eastAsia" w:ascii="华文中宋" w:hAnsi="华文中宋" w:eastAsia="华文中宋"/>
          <w:highlight w:val="none"/>
        </w:rPr>
        <w:t>购买演出门票的方式</w:t>
      </w: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黑体" w:hAnsi="黑体" w:eastAsia="黑体" w:cs="黑体"/>
          <w:b w:val="0"/>
          <w:bCs w:val="0"/>
          <w:sz w:val="32"/>
          <w:szCs w:val="32"/>
          <w:highlight w:val="none"/>
        </w:rPr>
      </w:pPr>
      <w:bookmarkStart w:id="61" w:name="_Toc245558670"/>
      <w:r>
        <w:rPr>
          <w:rFonts w:hint="eastAsia" w:ascii="黑体" w:hAnsi="黑体" w:cs="黑体"/>
          <w:b w:val="0"/>
          <w:bCs w:val="0"/>
          <w:sz w:val="32"/>
          <w:szCs w:val="32"/>
          <w:highlight w:val="none"/>
          <w:lang w:val="en-US" w:eastAsia="zh-CN"/>
        </w:rPr>
        <w:t>四</w:t>
      </w:r>
      <w:r>
        <w:rPr>
          <w:rFonts w:hint="eastAsia" w:ascii="黑体" w:hAnsi="黑体" w:eastAsia="黑体" w:cs="黑体"/>
          <w:b w:val="0"/>
          <w:bCs w:val="0"/>
          <w:sz w:val="32"/>
          <w:szCs w:val="32"/>
          <w:highlight w:val="none"/>
        </w:rPr>
        <w:t>、</w:t>
      </w:r>
      <w:r>
        <w:rPr>
          <w:rFonts w:hint="eastAsia" w:ascii="黑体" w:hAnsi="黑体" w:eastAsia="黑体" w:cs="黑体"/>
          <w:b w:val="0"/>
          <w:bCs w:val="0"/>
          <w:sz w:val="32"/>
          <w:szCs w:val="32"/>
          <w:highlight w:val="none"/>
          <w:lang w:eastAsia="zh-CN"/>
        </w:rPr>
        <w:t>四川省</w:t>
      </w:r>
      <w:r>
        <w:rPr>
          <w:rFonts w:hint="eastAsia" w:ascii="黑体" w:hAnsi="黑体" w:eastAsia="黑体" w:cs="黑体"/>
          <w:b w:val="0"/>
          <w:bCs w:val="0"/>
          <w:sz w:val="32"/>
          <w:szCs w:val="32"/>
          <w:highlight w:val="none"/>
        </w:rPr>
        <w:t>演出观众消费需求</w:t>
      </w:r>
      <w:bookmarkEnd w:id="61"/>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default" w:ascii="仿宋_GB2312" w:hAnsi="仿宋_GB2312" w:eastAsia="仿宋_GB2312" w:cs="仿宋_GB2312"/>
          <w:b/>
          <w:bCs/>
          <w:sz w:val="32"/>
          <w:szCs w:val="32"/>
          <w:highlight w:val="none"/>
          <w:lang w:val="en-US" w:eastAsia="zh-CN"/>
        </w:rPr>
      </w:pPr>
      <w:bookmarkStart w:id="62" w:name="_Toc245558671"/>
      <w:r>
        <w:rPr>
          <w:rFonts w:hint="eastAsia" w:ascii="仿宋_GB2312" w:hAnsi="仿宋_GB2312" w:eastAsia="仿宋_GB2312" w:cs="仿宋_GB2312"/>
          <w:b/>
          <w:bCs/>
          <w:sz w:val="32"/>
          <w:szCs w:val="32"/>
          <w:highlight w:val="none"/>
        </w:rPr>
        <w:t>1．最希望看到的</w:t>
      </w:r>
      <w:r>
        <w:rPr>
          <w:rFonts w:hint="eastAsia" w:ascii="仿宋_GB2312" w:hAnsi="仿宋_GB2312" w:eastAsia="仿宋_GB2312" w:cs="仿宋_GB2312"/>
          <w:b/>
          <w:bCs/>
          <w:sz w:val="32"/>
          <w:szCs w:val="32"/>
          <w:highlight w:val="none"/>
          <w:lang w:val="en-US" w:eastAsia="zh-CN"/>
        </w:rPr>
        <w:t>演出</w:t>
      </w:r>
      <w:r>
        <w:rPr>
          <w:rFonts w:hint="eastAsia" w:ascii="仿宋_GB2312" w:hAnsi="仿宋_GB2312" w:eastAsia="仿宋_GB2312" w:cs="仿宋_GB2312"/>
          <w:b/>
          <w:bCs/>
          <w:sz w:val="32"/>
          <w:szCs w:val="32"/>
          <w:highlight w:val="none"/>
        </w:rPr>
        <w:t>类型：最希望看到音乐会</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rPr>
        <w:t>话剧</w:t>
      </w:r>
      <w:bookmarkEnd w:id="62"/>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舞剧</w:t>
      </w: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音乐会、话剧</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舞剧</w:t>
      </w:r>
      <w:r>
        <w:rPr>
          <w:rFonts w:hint="eastAsia" w:ascii="仿宋_GB2312" w:hAnsi="仿宋_GB2312" w:eastAsia="仿宋_GB2312" w:cs="仿宋_GB2312"/>
          <w:b w:val="0"/>
          <w:bCs w:val="0"/>
          <w:sz w:val="32"/>
          <w:szCs w:val="32"/>
          <w:highlight w:val="none"/>
        </w:rPr>
        <w:t>最受欢迎。在对最希望看到的</w:t>
      </w:r>
      <w:r>
        <w:rPr>
          <w:rFonts w:hint="eastAsia" w:ascii="仿宋_GB2312" w:hAnsi="仿宋_GB2312" w:eastAsia="仿宋_GB2312" w:cs="仿宋_GB2312"/>
          <w:b w:val="0"/>
          <w:bCs w:val="0"/>
          <w:sz w:val="32"/>
          <w:szCs w:val="32"/>
          <w:highlight w:val="none"/>
          <w:lang w:val="en-US" w:eastAsia="zh-CN"/>
        </w:rPr>
        <w:t>演出</w:t>
      </w:r>
      <w:r>
        <w:rPr>
          <w:rFonts w:hint="eastAsia" w:ascii="仿宋_GB2312" w:hAnsi="仿宋_GB2312" w:eastAsia="仿宋_GB2312" w:cs="仿宋_GB2312"/>
          <w:b w:val="0"/>
          <w:bCs w:val="0"/>
          <w:sz w:val="32"/>
          <w:szCs w:val="32"/>
          <w:highlight w:val="none"/>
        </w:rPr>
        <w:t>类型进行调研时，分别有40.5</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%、40</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%、31.9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%的观众选择音乐会</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话剧和舞剧</w:t>
      </w:r>
      <w:r>
        <w:rPr>
          <w:rFonts w:hint="eastAsia" w:ascii="仿宋_GB2312" w:hAnsi="仿宋_GB2312" w:eastAsia="仿宋_GB2312" w:cs="仿宋_GB2312"/>
          <w:b w:val="0"/>
          <w:bCs w:val="0"/>
          <w:sz w:val="32"/>
          <w:szCs w:val="32"/>
          <w:highlight w:val="none"/>
        </w:rPr>
        <w:t>，是选择人数最多的三种</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类型。这一点与观看演出的类型基本一致，由此可以判断，音乐会、话剧</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舞剧</w:t>
      </w:r>
      <w:r>
        <w:rPr>
          <w:rFonts w:hint="eastAsia" w:ascii="仿宋_GB2312" w:hAnsi="仿宋_GB2312" w:eastAsia="仿宋_GB2312" w:cs="仿宋_GB2312"/>
          <w:b w:val="0"/>
          <w:bCs w:val="0"/>
          <w:sz w:val="32"/>
          <w:szCs w:val="32"/>
          <w:highlight w:val="none"/>
        </w:rPr>
        <w:t>是最受</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观众欢迎的</w:t>
      </w:r>
      <w:r>
        <w:rPr>
          <w:rFonts w:hint="eastAsia" w:ascii="仿宋_GB2312" w:hAnsi="仿宋_GB2312" w:eastAsia="仿宋_GB2312" w:cs="仿宋_GB2312"/>
          <w:b w:val="0"/>
          <w:bCs w:val="0"/>
          <w:sz w:val="32"/>
          <w:szCs w:val="32"/>
          <w:highlight w:val="none"/>
          <w:lang w:val="en-US" w:eastAsia="zh-CN"/>
        </w:rPr>
        <w:t>演出</w:t>
      </w:r>
      <w:r>
        <w:rPr>
          <w:rFonts w:hint="eastAsia" w:ascii="仿宋_GB2312" w:hAnsi="仿宋_GB2312" w:eastAsia="仿宋_GB2312" w:cs="仿宋_GB2312"/>
          <w:b w:val="0"/>
          <w:bCs w:val="0"/>
          <w:sz w:val="32"/>
          <w:szCs w:val="32"/>
          <w:highlight w:val="none"/>
        </w:rPr>
        <w:t>类型。</w:t>
      </w: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对比最希望看到的</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类型和观看过的</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类型，可以发现，希望看到音乐会、话剧、</w:t>
      </w:r>
      <w:r>
        <w:rPr>
          <w:rFonts w:hint="eastAsia" w:ascii="仿宋_GB2312" w:hAnsi="仿宋_GB2312" w:eastAsia="仿宋_GB2312" w:cs="仿宋_GB2312"/>
          <w:b w:val="0"/>
          <w:bCs w:val="0"/>
          <w:sz w:val="32"/>
          <w:szCs w:val="32"/>
          <w:highlight w:val="none"/>
          <w:lang w:val="en-US" w:eastAsia="zh-CN"/>
        </w:rPr>
        <w:t>舞剧</w:t>
      </w:r>
      <w:r>
        <w:rPr>
          <w:rFonts w:hint="eastAsia" w:ascii="仿宋_GB2312" w:hAnsi="仿宋_GB2312" w:eastAsia="仿宋_GB2312" w:cs="仿宋_GB2312"/>
          <w:b w:val="0"/>
          <w:bCs w:val="0"/>
          <w:sz w:val="32"/>
          <w:szCs w:val="32"/>
          <w:highlight w:val="none"/>
        </w:rPr>
        <w:t>等几种</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类型的比例要高于观看这几类演出的人群比例，可见人们希望更多地看到这几种类型的演出。</w:t>
      </w:r>
    </w:p>
    <w:p>
      <w:pPr>
        <w:jc w:val="center"/>
        <w:rPr>
          <w:rFonts w:hint="eastAsia" w:ascii="华文中宋" w:hAnsi="华文中宋" w:eastAsia="华文中宋"/>
          <w:highlight w:val="none"/>
        </w:rPr>
      </w:pPr>
      <w:r>
        <w:rPr>
          <w:rFonts w:ascii="华文中宋" w:hAnsi="华文中宋" w:eastAsia="华文中宋"/>
          <w:highlight w:val="none"/>
        </w:rPr>
        <w:object>
          <v:shape id="_x0000_i1033" o:spt="75" type="#_x0000_t75" style="height:211.2pt;width:299.35pt;" o:ole="t" filled="f" o:preferrelative="t" stroked="f" coordsize="21600,21600">
            <v:path/>
            <v:fill on="f" focussize="0,0"/>
            <v:stroke on="f"/>
            <v:imagedata r:id="rId67" o:title=""/>
            <o:lock v:ext="edit" aspectratio="t"/>
            <w10:wrap type="none"/>
            <w10:anchorlock/>
          </v:shape>
          <o:OLEObject Type="Embed" ProgID="MSGraph.Chart.8" ShapeID="_x0000_i1033" DrawAspect="Content" ObjectID="_1468075734" r:id="rId66">
            <o:LockedField>false</o:LockedField>
          </o:OLEObject>
        </w:object>
      </w:r>
    </w:p>
    <w:p>
      <w:pPr>
        <w:pStyle w:val="18"/>
        <w:spacing w:after="156" w:afterLines="50"/>
        <w:ind w:left="419" w:hanging="62"/>
        <w:jc w:val="center"/>
        <w:rPr>
          <w:rStyle w:val="19"/>
          <w:rFonts w:hint="eastAsia" w:ascii="华文中宋" w:hAnsi="华文中宋" w:eastAsia="华文中宋"/>
          <w:color w:val="FF0000"/>
          <w:highlight w:val="none"/>
          <w:lang w:eastAsia="zh-CN"/>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-1</w:t>
      </w:r>
      <w:r>
        <w:rPr>
          <w:rStyle w:val="19"/>
          <w:rFonts w:hint="eastAsia" w:ascii="华文中宋" w:hAnsi="华文中宋" w:eastAsia="华文中宋"/>
          <w:highlight w:val="none"/>
          <w:lang w:val="en-US" w:eastAsia="zh-CN"/>
        </w:rPr>
        <w:t>5</w:t>
      </w:r>
      <w:r>
        <w:rPr>
          <w:rStyle w:val="19"/>
          <w:rFonts w:hint="eastAsia" w:ascii="华文中宋" w:hAnsi="华文中宋" w:eastAsia="华文中宋"/>
          <w:highlight w:val="none"/>
        </w:rPr>
        <w:t xml:space="preserve"> 最想看到的</w:t>
      </w:r>
      <w:r>
        <w:rPr>
          <w:rStyle w:val="19"/>
          <w:rFonts w:hint="eastAsia" w:ascii="华文中宋" w:hAnsi="华文中宋" w:eastAsia="华文中宋"/>
          <w:highlight w:val="none"/>
          <w:lang w:eastAsia="zh-CN"/>
        </w:rPr>
        <w:t>演出</w:t>
      </w:r>
      <w:r>
        <w:rPr>
          <w:rStyle w:val="19"/>
          <w:rFonts w:hint="eastAsia" w:ascii="华文中宋" w:hAnsi="华文中宋" w:eastAsia="华文中宋"/>
          <w:highlight w:val="none"/>
        </w:rPr>
        <w:t>类型</w:t>
      </w:r>
      <w:r>
        <w:rPr>
          <w:rStyle w:val="19"/>
          <w:rFonts w:hint="eastAsia" w:ascii="华文中宋" w:hAnsi="华文中宋" w:eastAsia="华文中宋"/>
          <w:highlight w:val="none"/>
          <w:lang w:eastAsia="zh-CN"/>
        </w:rPr>
        <w:t>（</w:t>
      </w:r>
      <w:r>
        <w:rPr>
          <w:rStyle w:val="19"/>
          <w:rFonts w:hint="eastAsia" w:ascii="华文中宋" w:hAnsi="华文中宋" w:eastAsia="华文中宋"/>
          <w:highlight w:val="none"/>
          <w:lang w:val="en-US" w:eastAsia="zh-CN"/>
        </w:rPr>
        <w:t>多选问卷</w:t>
      </w:r>
      <w:r>
        <w:rPr>
          <w:rStyle w:val="19"/>
          <w:rFonts w:hint="eastAsia" w:ascii="华文中宋" w:hAnsi="华文中宋" w:eastAsia="华文中宋"/>
          <w:highlight w:val="none"/>
          <w:lang w:eastAsia="zh-CN"/>
        </w:rPr>
        <w:t>）</w:t>
      </w:r>
    </w:p>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女性比男性更希望看到话剧、歌舞等</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形式。在话剧、歌舞、儿童剧等演出及</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类型上，女性观众的比例明显高于男性，而</w:t>
      </w:r>
      <w:r>
        <w:rPr>
          <w:rFonts w:hint="eastAsia" w:ascii="仿宋_GB2312" w:hAnsi="仿宋_GB2312" w:eastAsia="仿宋_GB2312" w:cs="仿宋_GB2312"/>
          <w:b w:val="0"/>
          <w:bCs w:val="0"/>
          <w:sz w:val="32"/>
          <w:szCs w:val="32"/>
          <w:highlight w:val="none"/>
          <w:lang w:val="en-US" w:eastAsia="zh-CN"/>
        </w:rPr>
        <w:t>川</w:t>
      </w:r>
      <w:r>
        <w:rPr>
          <w:rFonts w:hint="eastAsia" w:ascii="仿宋_GB2312" w:hAnsi="仿宋_GB2312" w:eastAsia="仿宋_GB2312" w:cs="仿宋_GB2312"/>
          <w:b w:val="0"/>
          <w:bCs w:val="0"/>
          <w:sz w:val="32"/>
          <w:szCs w:val="32"/>
          <w:highlight w:val="none"/>
        </w:rPr>
        <w:t>剧、地方戏曲等</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类型上，男性比例明显高于女性。</w: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-1</w:t>
      </w:r>
      <w:r>
        <w:rPr>
          <w:rStyle w:val="19"/>
          <w:rFonts w:hint="eastAsia" w:ascii="华文中宋" w:hAnsi="华文中宋" w:eastAsia="华文中宋"/>
          <w:highlight w:val="none"/>
          <w:lang w:val="en-US" w:eastAsia="zh-CN"/>
        </w:rPr>
        <w:t>6</w:t>
      </w:r>
      <w:r>
        <w:rPr>
          <w:rStyle w:val="19"/>
          <w:rFonts w:hint="eastAsia" w:ascii="华文中宋" w:hAnsi="华文中宋" w:eastAsia="华文中宋"/>
          <w:highlight w:val="none"/>
        </w:rPr>
        <w:t xml:space="preserve"> 不同性别的人最想看到的</w:t>
      </w:r>
      <w:r>
        <w:rPr>
          <w:rStyle w:val="19"/>
          <w:rFonts w:hint="eastAsia" w:ascii="华文中宋" w:hAnsi="华文中宋" w:eastAsia="华文中宋"/>
          <w:highlight w:val="none"/>
          <w:lang w:eastAsia="zh-CN"/>
        </w:rPr>
        <w:t>演出</w:t>
      </w:r>
      <w:r>
        <w:rPr>
          <w:rStyle w:val="19"/>
          <w:rFonts w:hint="eastAsia" w:ascii="华文中宋" w:hAnsi="华文中宋" w:eastAsia="华文中宋"/>
          <w:highlight w:val="none"/>
        </w:rPr>
        <w:t>类型</w:t>
      </w:r>
    </w:p>
    <w:tbl>
      <w:tblPr>
        <w:tblStyle w:val="13"/>
        <w:tblW w:w="6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372"/>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77" w:type="dxa"/>
            <w:shd w:val="clear" w:color="auto" w:fill="C0C0C0"/>
            <w:noWrap/>
            <w:vAlign w:val="center"/>
          </w:tcPr>
          <w:p>
            <w:pPr>
              <w:widowControl/>
              <w:jc w:val="center"/>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lang w:eastAsia="zh-CN"/>
              </w:rPr>
              <w:t>演出</w:t>
            </w:r>
            <w:r>
              <w:rPr>
                <w:rFonts w:hint="eastAsia" w:ascii="华文中宋" w:hAnsi="华文中宋" w:eastAsia="华文中宋" w:cs="宋体"/>
                <w:b/>
                <w:color w:val="000000"/>
                <w:kern w:val="0"/>
                <w:sz w:val="18"/>
                <w:szCs w:val="18"/>
                <w:highlight w:val="none"/>
              </w:rPr>
              <w:t>类型</w:t>
            </w:r>
          </w:p>
        </w:tc>
        <w:tc>
          <w:tcPr>
            <w:tcW w:w="2372" w:type="dxa"/>
            <w:shd w:val="clear" w:color="auto" w:fill="C0C0C0"/>
            <w:noWrap/>
            <w:vAlign w:val="center"/>
          </w:tcPr>
          <w:p>
            <w:pPr>
              <w:widowControl/>
              <w:jc w:val="center"/>
              <w:rPr>
                <w:rFonts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男性</w:t>
            </w:r>
          </w:p>
        </w:tc>
        <w:tc>
          <w:tcPr>
            <w:tcW w:w="2372" w:type="dxa"/>
            <w:shd w:val="clear" w:color="auto" w:fill="C0C0C0"/>
            <w:noWrap/>
            <w:vAlign w:val="center"/>
          </w:tcPr>
          <w:p>
            <w:pPr>
              <w:widowControl/>
              <w:jc w:val="center"/>
              <w:rPr>
                <w:rFonts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女性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音乐会</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39.7%</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演唱会</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36.9%</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话剧</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26.8%</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lang w:val="en-US" w:eastAsia="zh-CN"/>
              </w:rPr>
              <w:t>川</w:t>
            </w:r>
            <w:r>
              <w:rPr>
                <w:rFonts w:hint="eastAsia" w:ascii="华文中宋" w:hAnsi="华文中宋" w:eastAsia="华文中宋"/>
                <w:color w:val="000000"/>
                <w:sz w:val="18"/>
                <w:szCs w:val="18"/>
                <w:highlight w:val="none"/>
              </w:rPr>
              <w:t>剧</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25.1%</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综艺类</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18.4%</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歌舞</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14.0%</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杂技魔术</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14.0%</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地方戏曲</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12.3%</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歌剧 </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10.1%</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hint="eastAsia" w:ascii="华文中宋" w:hAnsi="华文中宋" w:eastAsia="华文中宋" w:cs="宋体"/>
                <w:color w:val="000000"/>
                <w:sz w:val="18"/>
                <w:szCs w:val="18"/>
                <w:highlight w:val="none"/>
                <w:lang w:eastAsia="zh-CN"/>
              </w:rPr>
            </w:pPr>
            <w:r>
              <w:rPr>
                <w:rFonts w:hint="eastAsia" w:ascii="华文中宋" w:hAnsi="华文中宋" w:eastAsia="华文中宋"/>
                <w:color w:val="000000"/>
                <w:sz w:val="18"/>
                <w:szCs w:val="18"/>
                <w:highlight w:val="none"/>
              </w:rPr>
              <w:t>儿童</w:t>
            </w:r>
            <w:r>
              <w:rPr>
                <w:rFonts w:hint="eastAsia" w:ascii="华文中宋" w:hAnsi="华文中宋" w:eastAsia="华文中宋"/>
                <w:color w:val="000000"/>
                <w:sz w:val="18"/>
                <w:szCs w:val="18"/>
                <w:highlight w:val="none"/>
                <w:lang w:val="en-US" w:eastAsia="zh-CN"/>
              </w:rPr>
              <w:t>剧</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7.8%</w:t>
            </w:r>
          </w:p>
        </w:tc>
        <w:tc>
          <w:tcPr>
            <w:tcW w:w="237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其他   </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7.8%</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77"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相声   </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6.7%</w:t>
            </w:r>
          </w:p>
        </w:tc>
        <w:tc>
          <w:tcPr>
            <w:tcW w:w="237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7.0%</w:t>
            </w:r>
          </w:p>
        </w:tc>
      </w:tr>
    </w:tbl>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通过对不同年龄的观众的对比发现，20岁以下的年轻</w:t>
      </w:r>
      <w:r>
        <w:rPr>
          <w:rFonts w:hint="eastAsia" w:ascii="仿宋_GB2312" w:hAnsi="仿宋_GB2312" w:eastAsia="仿宋_GB2312" w:cs="仿宋_GB2312"/>
          <w:b w:val="0"/>
          <w:bCs w:val="0"/>
          <w:sz w:val="32"/>
          <w:szCs w:val="32"/>
          <w:highlight w:val="none"/>
          <w:lang w:val="en-US" w:eastAsia="zh-CN"/>
        </w:rPr>
        <w:t>群体</w:t>
      </w:r>
      <w:r>
        <w:rPr>
          <w:rFonts w:hint="eastAsia" w:ascii="仿宋_GB2312" w:hAnsi="仿宋_GB2312" w:eastAsia="仿宋_GB2312" w:cs="仿宋_GB2312"/>
          <w:b w:val="0"/>
          <w:bCs w:val="0"/>
          <w:sz w:val="32"/>
          <w:szCs w:val="32"/>
          <w:highlight w:val="none"/>
        </w:rPr>
        <w:t>更希望看到演唱会等演出形式，而50岁以上的老年</w:t>
      </w:r>
      <w:r>
        <w:rPr>
          <w:rFonts w:hint="eastAsia" w:ascii="仿宋_GB2312" w:hAnsi="仿宋_GB2312" w:eastAsia="仿宋_GB2312" w:cs="仿宋_GB2312"/>
          <w:b w:val="0"/>
          <w:bCs w:val="0"/>
          <w:sz w:val="32"/>
          <w:szCs w:val="32"/>
          <w:highlight w:val="none"/>
          <w:lang w:val="en-US" w:eastAsia="zh-CN"/>
        </w:rPr>
        <w:t>群体</w:t>
      </w:r>
      <w:r>
        <w:rPr>
          <w:rFonts w:hint="eastAsia" w:ascii="仿宋_GB2312" w:hAnsi="仿宋_GB2312" w:eastAsia="仿宋_GB2312" w:cs="仿宋_GB2312"/>
          <w:b w:val="0"/>
          <w:bCs w:val="0"/>
          <w:sz w:val="32"/>
          <w:szCs w:val="32"/>
          <w:highlight w:val="none"/>
        </w:rPr>
        <w:t>则比其他年龄段的人更希望看到</w:t>
      </w:r>
      <w:r>
        <w:rPr>
          <w:rFonts w:hint="eastAsia" w:ascii="仿宋_GB2312" w:hAnsi="仿宋_GB2312" w:eastAsia="仿宋_GB2312" w:cs="仿宋_GB2312"/>
          <w:b w:val="0"/>
          <w:bCs w:val="0"/>
          <w:sz w:val="32"/>
          <w:szCs w:val="32"/>
          <w:highlight w:val="none"/>
          <w:lang w:eastAsia="zh-CN"/>
        </w:rPr>
        <w:t>川</w:t>
      </w:r>
      <w:r>
        <w:rPr>
          <w:rFonts w:hint="eastAsia" w:ascii="仿宋_GB2312" w:hAnsi="仿宋_GB2312" w:eastAsia="仿宋_GB2312" w:cs="仿宋_GB2312"/>
          <w:b w:val="0"/>
          <w:bCs w:val="0"/>
          <w:sz w:val="32"/>
          <w:szCs w:val="32"/>
          <w:highlight w:val="none"/>
        </w:rPr>
        <w:t>剧、地方戏等</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类型</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不过近年来年轻群体对京剧、越剧、川剧等地方戏曲的关注度明显增加。</w:t>
      </w:r>
      <w:r>
        <w:rPr>
          <w:rFonts w:hint="eastAsia" w:ascii="仿宋_GB2312" w:hAnsi="仿宋_GB2312" w:eastAsia="仿宋_GB2312" w:cs="仿宋_GB2312"/>
          <w:b w:val="0"/>
          <w:bCs w:val="0"/>
          <w:sz w:val="32"/>
          <w:szCs w:val="32"/>
          <w:highlight w:val="none"/>
        </w:rPr>
        <w:t>对音乐会的关注集中于50岁以下的观众群体，对话剧的关注集中于40岁以下的观众群体。</w: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-1</w:t>
      </w:r>
      <w:r>
        <w:rPr>
          <w:rStyle w:val="19"/>
          <w:rFonts w:hint="eastAsia" w:ascii="华文中宋" w:hAnsi="华文中宋" w:eastAsia="华文中宋"/>
          <w:highlight w:val="none"/>
          <w:lang w:val="en-US" w:eastAsia="zh-CN"/>
        </w:rPr>
        <w:t>7</w:t>
      </w:r>
      <w:r>
        <w:rPr>
          <w:rStyle w:val="19"/>
          <w:rFonts w:hint="eastAsia" w:ascii="华文中宋" w:hAnsi="华文中宋" w:eastAsia="华文中宋"/>
          <w:highlight w:val="none"/>
        </w:rPr>
        <w:t xml:space="preserve"> 不同年龄的人最想看到的</w:t>
      </w:r>
      <w:r>
        <w:rPr>
          <w:rStyle w:val="19"/>
          <w:rFonts w:hint="eastAsia" w:ascii="华文中宋" w:hAnsi="华文中宋" w:eastAsia="华文中宋"/>
          <w:highlight w:val="none"/>
          <w:lang w:eastAsia="zh-CN"/>
        </w:rPr>
        <w:t>演出</w:t>
      </w:r>
      <w:r>
        <w:rPr>
          <w:rStyle w:val="19"/>
          <w:rFonts w:hint="eastAsia" w:ascii="华文中宋" w:hAnsi="华文中宋" w:eastAsia="华文中宋"/>
          <w:highlight w:val="none"/>
        </w:rPr>
        <w:t>类型</w:t>
      </w:r>
    </w:p>
    <w:tbl>
      <w:tblPr>
        <w:tblStyle w:val="13"/>
        <w:tblW w:w="7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11"/>
        <w:gridCol w:w="1112"/>
        <w:gridCol w:w="1112"/>
        <w:gridCol w:w="1111"/>
        <w:gridCol w:w="111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162" w:type="dxa"/>
            <w:shd w:val="clear" w:color="auto" w:fill="C0C0C0"/>
            <w:noWrap/>
            <w:vAlign w:val="center"/>
          </w:tcPr>
          <w:p>
            <w:pPr>
              <w:widowControl/>
              <w:jc w:val="center"/>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lang w:eastAsia="zh-CN"/>
              </w:rPr>
              <w:t>演出</w:t>
            </w:r>
            <w:r>
              <w:rPr>
                <w:rFonts w:hint="eastAsia" w:ascii="华文中宋" w:hAnsi="华文中宋" w:eastAsia="华文中宋" w:cs="宋体"/>
                <w:b/>
                <w:color w:val="000000"/>
                <w:kern w:val="0"/>
                <w:sz w:val="18"/>
                <w:szCs w:val="18"/>
                <w:highlight w:val="none"/>
              </w:rPr>
              <w:t>类型</w:t>
            </w:r>
          </w:p>
        </w:tc>
        <w:tc>
          <w:tcPr>
            <w:tcW w:w="1111"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20岁以下</w:t>
            </w:r>
          </w:p>
        </w:tc>
        <w:tc>
          <w:tcPr>
            <w:tcW w:w="1112"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20-30岁</w:t>
            </w:r>
          </w:p>
        </w:tc>
        <w:tc>
          <w:tcPr>
            <w:tcW w:w="1112"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31-40岁</w:t>
            </w:r>
          </w:p>
        </w:tc>
        <w:tc>
          <w:tcPr>
            <w:tcW w:w="1111"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41-50岁</w:t>
            </w:r>
          </w:p>
        </w:tc>
        <w:tc>
          <w:tcPr>
            <w:tcW w:w="1112" w:type="dxa"/>
            <w:shd w:val="clear" w:color="auto" w:fill="C0C0C0"/>
            <w:noWrap/>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51-60岁</w:t>
            </w:r>
          </w:p>
        </w:tc>
        <w:tc>
          <w:tcPr>
            <w:tcW w:w="1112" w:type="dxa"/>
            <w:shd w:val="clear" w:color="auto" w:fill="C0C0C0"/>
            <w:noWrap/>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60岁以上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演唱会 </w:t>
            </w:r>
          </w:p>
        </w:tc>
        <w:tc>
          <w:tcPr>
            <w:tcW w:w="1111"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58.3%</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40.3%</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34.8%</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40.4%</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48.0%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音乐会 </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41.7%</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42.4%</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44.3%</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44.2%</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32.0%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话剧   </w:t>
            </w:r>
          </w:p>
        </w:tc>
        <w:tc>
          <w:tcPr>
            <w:tcW w:w="1111"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33.3%</w:t>
            </w:r>
          </w:p>
        </w:tc>
        <w:tc>
          <w:tcPr>
            <w:tcW w:w="1112"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39.3%</w:t>
            </w:r>
          </w:p>
        </w:tc>
        <w:tc>
          <w:tcPr>
            <w:tcW w:w="1112"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36.5%</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21.2%</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16.0%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综艺类 </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33.3%</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19.4%</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15.7%</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23.1%</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14.0%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杂技魔 </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25.0%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12.6%</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11.3%</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5.8%</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歌舞   </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16.7%</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20.9%</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23.5%</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17.3%</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26.0%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hint="eastAsia" w:ascii="华文中宋" w:hAnsi="华文中宋" w:eastAsia="华文中宋" w:cs="宋体"/>
                <w:color w:val="000000"/>
                <w:sz w:val="18"/>
                <w:szCs w:val="18"/>
                <w:highlight w:val="none"/>
                <w:lang w:eastAsia="zh-CN"/>
              </w:rPr>
            </w:pPr>
            <w:r>
              <w:rPr>
                <w:rFonts w:hint="eastAsia" w:ascii="华文中宋" w:hAnsi="华文中宋" w:eastAsia="华文中宋"/>
                <w:color w:val="000000"/>
                <w:sz w:val="18"/>
                <w:szCs w:val="18"/>
                <w:highlight w:val="none"/>
              </w:rPr>
              <w:t>儿童</w:t>
            </w:r>
            <w:r>
              <w:rPr>
                <w:rFonts w:hint="eastAsia" w:ascii="华文中宋" w:hAnsi="华文中宋" w:eastAsia="华文中宋"/>
                <w:color w:val="000000"/>
                <w:sz w:val="18"/>
                <w:szCs w:val="18"/>
                <w:highlight w:val="none"/>
                <w:lang w:val="en-US" w:eastAsia="zh-CN"/>
              </w:rPr>
              <w:t>剧</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16.7%</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6.8%</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27.8%</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7.7%</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歌剧   </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8.3%</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16.8%</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8.7%</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9.6%</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lang w:val="en-US" w:eastAsia="zh-CN"/>
              </w:rPr>
              <w:t>川</w:t>
            </w:r>
            <w:r>
              <w:rPr>
                <w:rFonts w:hint="eastAsia" w:ascii="华文中宋" w:hAnsi="华文中宋" w:eastAsia="华文中宋"/>
                <w:color w:val="000000"/>
                <w:sz w:val="18"/>
                <w:szCs w:val="18"/>
                <w:highlight w:val="none"/>
              </w:rPr>
              <w:t xml:space="preserve">剧   </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8.3%</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11.5%</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9.6%</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19.2%</w:t>
            </w:r>
          </w:p>
        </w:tc>
        <w:tc>
          <w:tcPr>
            <w:tcW w:w="111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38.0%</w:t>
            </w:r>
          </w:p>
        </w:tc>
        <w:tc>
          <w:tcPr>
            <w:tcW w:w="1112" w:type="dxa"/>
            <w:shd w:val="clear" w:color="auto" w:fill="C0C0C0"/>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地方戏 </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4.7%</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8.7%</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3.8%</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16.0%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相声   </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8.4%</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5.2%</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5.8%</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其他</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8.9%</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5.2%</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5.8%</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12.0%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10.3%</w:t>
            </w:r>
          </w:p>
        </w:tc>
      </w:tr>
    </w:tbl>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63" w:name="_Toc245558672"/>
      <w:r>
        <w:rPr>
          <w:rFonts w:hint="eastAsia" w:ascii="仿宋_GB2312" w:hAnsi="仿宋_GB2312" w:eastAsia="仿宋_GB2312" w:cs="仿宋_GB2312"/>
          <w:b/>
          <w:bCs/>
          <w:sz w:val="32"/>
          <w:szCs w:val="32"/>
          <w:highlight w:val="none"/>
        </w:rPr>
        <w:t>2．观看演出的目的：以艺术欣赏和休闲娱乐为主</w:t>
      </w:r>
      <w:bookmarkEnd w:id="63"/>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53.6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%的人是为了艺术欣赏。就观看演出的目的而言，大部分人表示是为了艺术欣赏。数据显示，有53.6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%的观众表示观看演出的目的是艺术欣赏。休闲娱乐也占据了较大的比例，选择此项的观众占据38.4</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%。选择社交应酬、突然决定、其他目的等选项的观众比例只有8</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jc w:val="center"/>
        <w:rPr>
          <w:rFonts w:hint="eastAsia" w:ascii="华文中宋" w:hAnsi="华文中宋" w:eastAsia="华文中宋"/>
          <w:highlight w:val="none"/>
        </w:rPr>
      </w:pPr>
      <w:r>
        <w:rPr>
          <w:rFonts w:ascii="华文中宋" w:hAnsi="华文中宋" w:eastAsia="华文中宋"/>
          <w:highlight w:val="none"/>
        </w:rPr>
        <w:object>
          <v:shape id="_x0000_i1034" o:spt="75" type="#_x0000_t75" style="height:176.8pt;width:302.8pt;" o:ole="t" filled="f" o:preferrelative="f" stroked="f" coordsize="21600,21600">
            <v:path/>
            <v:fill on="f" alignshape="1" focussize="0,0"/>
            <v:stroke on="f"/>
            <v:imagedata r:id="rId69" grayscale="f" bilevel="f" o:title=""/>
            <o:lock v:ext="edit" aspectratio="f"/>
            <w10:wrap type="none"/>
            <w10:anchorlock/>
          </v:shape>
          <o:OLEObject Type="Embed" ProgID="MSGraph.Chart.8" ShapeID="_x0000_i1034" DrawAspect="Content" ObjectID="_1468075735" r:id="rId68">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-1</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 xml:space="preserve"> 观看演出的主要目的</w:t>
      </w:r>
    </w:p>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20岁以下和31-40岁的人把休闲娱乐作为观看演出的首要目的。通过不同年龄的观众的对比，可以看出20岁以下和31-40岁之间的人群中，休闲娱乐所占的比重最大，他们把休闲娱乐作为观看演出的首要目的，这是个非常有意思的现象。40岁以上的人群中，休闲娱乐所占的比重逐步减小，艺术欣赏的成分越来越高。</w: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19</w:t>
      </w:r>
      <w:r>
        <w:rPr>
          <w:rStyle w:val="19"/>
          <w:rFonts w:hint="eastAsia" w:ascii="华文中宋" w:hAnsi="华文中宋" w:eastAsia="华文中宋"/>
          <w:highlight w:val="none"/>
        </w:rPr>
        <w:t xml:space="preserve"> 不同年龄的人观看演出的目的</w:t>
      </w:r>
    </w:p>
    <w:tbl>
      <w:tblPr>
        <w:tblStyle w:val="13"/>
        <w:tblW w:w="7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11"/>
        <w:gridCol w:w="1112"/>
        <w:gridCol w:w="1112"/>
        <w:gridCol w:w="1111"/>
        <w:gridCol w:w="1112"/>
        <w:gridCol w:w="1112"/>
      </w:tblGrid>
      <w:tr>
        <w:trPr>
          <w:trHeight w:val="397" w:hRule="atLeast"/>
          <w:tblHeader/>
          <w:jc w:val="center"/>
        </w:trPr>
        <w:tc>
          <w:tcPr>
            <w:tcW w:w="1162" w:type="dxa"/>
            <w:shd w:val="clear" w:color="auto" w:fill="C0C0C0"/>
            <w:noWrap/>
            <w:vAlign w:val="center"/>
          </w:tcPr>
          <w:p>
            <w:pPr>
              <w:widowControl/>
              <w:jc w:val="center"/>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目的</w:t>
            </w:r>
          </w:p>
        </w:tc>
        <w:tc>
          <w:tcPr>
            <w:tcW w:w="1111"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20岁以下</w:t>
            </w:r>
          </w:p>
        </w:tc>
        <w:tc>
          <w:tcPr>
            <w:tcW w:w="1112"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20-30岁</w:t>
            </w:r>
          </w:p>
        </w:tc>
        <w:tc>
          <w:tcPr>
            <w:tcW w:w="1112"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31-40岁</w:t>
            </w:r>
          </w:p>
        </w:tc>
        <w:tc>
          <w:tcPr>
            <w:tcW w:w="1111" w:type="dxa"/>
            <w:shd w:val="clear" w:color="auto" w:fill="C0C0C0"/>
            <w:noWrap w:val="0"/>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41-50岁</w:t>
            </w:r>
          </w:p>
        </w:tc>
        <w:tc>
          <w:tcPr>
            <w:tcW w:w="1112" w:type="dxa"/>
            <w:shd w:val="clear" w:color="auto" w:fill="C0C0C0"/>
            <w:noWrap/>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51-60岁</w:t>
            </w:r>
          </w:p>
        </w:tc>
        <w:tc>
          <w:tcPr>
            <w:tcW w:w="1112" w:type="dxa"/>
            <w:shd w:val="clear" w:color="auto" w:fill="C0C0C0"/>
            <w:noWrap/>
            <w:vAlign w:val="center"/>
          </w:tcPr>
          <w:p>
            <w:pPr>
              <w:jc w:val="center"/>
              <w:rPr>
                <w:rFonts w:ascii="华文中宋" w:hAnsi="华文中宋" w:eastAsia="华文中宋" w:cs="宋体"/>
                <w:b/>
                <w:color w:val="000000"/>
                <w:sz w:val="18"/>
                <w:szCs w:val="18"/>
                <w:highlight w:val="none"/>
              </w:rPr>
            </w:pPr>
            <w:r>
              <w:rPr>
                <w:rFonts w:hint="eastAsia" w:ascii="华文中宋" w:hAnsi="华文中宋" w:eastAsia="华文中宋"/>
                <w:b/>
                <w:color w:val="000000"/>
                <w:sz w:val="18"/>
                <w:szCs w:val="18"/>
                <w:highlight w:val="none"/>
              </w:rPr>
              <w:t>60岁以上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hint="eastAsia"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艺术欣赏</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45.5%</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52.3%</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42.7%</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66.0%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66.7%</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hint="eastAsia"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社交和应酬</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9.1%</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3.5%</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3.6%</w:t>
            </w:r>
          </w:p>
        </w:tc>
        <w:tc>
          <w:tcPr>
            <w:tcW w:w="1111" w:type="dxa"/>
            <w:shd w:val="clear" w:color="auto" w:fill="auto"/>
            <w:noWrap w:val="0"/>
            <w:vAlign w:val="center"/>
          </w:tcPr>
          <w:p>
            <w:pPr>
              <w:jc w:val="center"/>
              <w:rPr>
                <w:rFonts w:hint="eastAsia"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0.0%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2.1%</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hint="eastAsia"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休闲娱乐</w:t>
            </w:r>
          </w:p>
        </w:tc>
        <w:tc>
          <w:tcPr>
            <w:tcW w:w="1111"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45.5%</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39.5%</w:t>
            </w:r>
          </w:p>
        </w:tc>
        <w:tc>
          <w:tcPr>
            <w:tcW w:w="1112"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49.1%</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32.0%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25.0%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hint="eastAsia"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突然决定</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0.0%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2.9%</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1.8%</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0.0%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6.3%</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hint="eastAsia"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其他</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0.0%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1.7%</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2.7%</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2.0%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0.0%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hint="eastAsia" w:ascii="华文中宋" w:hAnsi="华文中宋" w:eastAsia="华文中宋" w:cs="宋体"/>
                <w:color w:val="000000"/>
                <w:sz w:val="18"/>
                <w:szCs w:val="18"/>
                <w:highlight w:val="none"/>
              </w:rPr>
            </w:pPr>
            <w:r>
              <w:rPr>
                <w:rFonts w:hint="eastAsia" w:ascii="华文中宋" w:hAnsi="华文中宋" w:eastAsia="华文中宋" w:cs="宋体"/>
                <w:color w:val="000000"/>
                <w:sz w:val="18"/>
                <w:szCs w:val="18"/>
                <w:highlight w:val="none"/>
              </w:rPr>
              <w:t>总计</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100.0%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100.0%</w:t>
            </w:r>
          </w:p>
        </w:tc>
        <w:tc>
          <w:tcPr>
            <w:tcW w:w="1112"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100.0%</w:t>
            </w:r>
          </w:p>
        </w:tc>
        <w:tc>
          <w:tcPr>
            <w:tcW w:w="1111"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100.0%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100.0%</w:t>
            </w:r>
          </w:p>
        </w:tc>
        <w:tc>
          <w:tcPr>
            <w:tcW w:w="1112" w:type="dxa"/>
            <w:shd w:val="clear" w:color="auto" w:fill="auto"/>
            <w:noWrap/>
            <w:vAlign w:val="center"/>
          </w:tcPr>
          <w:p>
            <w:pPr>
              <w:jc w:val="center"/>
              <w:rPr>
                <w:rFonts w:ascii="华文中宋" w:hAnsi="华文中宋" w:eastAsia="华文中宋" w:cs="宋体"/>
                <w:color w:val="000000"/>
                <w:sz w:val="18"/>
                <w:szCs w:val="18"/>
                <w:highlight w:val="none"/>
              </w:rPr>
            </w:pPr>
            <w:r>
              <w:rPr>
                <w:rFonts w:ascii="华文中宋" w:hAnsi="华文中宋" w:eastAsia="华文中宋" w:cs="宋体"/>
                <w:color w:val="000000"/>
                <w:sz w:val="18"/>
                <w:szCs w:val="18"/>
                <w:highlight w:val="none"/>
              </w:rPr>
              <w:t>100.0</w:t>
            </w:r>
          </w:p>
        </w:tc>
      </w:tr>
    </w:tbl>
    <w:p>
      <w:pPr>
        <w:pStyle w:val="17"/>
        <w:rPr>
          <w:rFonts w:hint="eastAsia" w:ascii="仿宋_GB2312" w:hAnsi="仿宋_GB2312" w:eastAsia="仿宋_GB2312" w:cs="仿宋_GB2312"/>
          <w:b w:val="0"/>
          <w:bCs w:val="0"/>
          <w:sz w:val="32"/>
          <w:szCs w:val="32"/>
          <w:highlight w:val="none"/>
        </w:rPr>
      </w:pPr>
    </w:p>
    <w:p>
      <w:pPr>
        <w:pStyle w:val="5"/>
        <w:keepNext/>
        <w:keepLines/>
        <w:pageBreakBefore w:val="0"/>
        <w:widowControl w:val="0"/>
        <w:kinsoku/>
        <w:wordWrap/>
        <w:overflowPunct/>
        <w:topLinePunct w:val="0"/>
        <w:autoSpaceDE/>
        <w:autoSpaceDN/>
        <w:bidi w:val="0"/>
        <w:adjustRightInd/>
        <w:snapToGrid w:val="0"/>
        <w:spacing w:before="0" w:after="0"/>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3．影响决策的因素：兴趣和票价是最重要的两个因素</w:t>
      </w:r>
    </w:p>
    <w:p>
      <w:pPr>
        <w:pStyle w:val="5"/>
        <w:keepNext/>
        <w:keepLines/>
        <w:pageBreakBefore w:val="0"/>
        <w:widowControl w:val="0"/>
        <w:kinsoku/>
        <w:wordWrap/>
        <w:overflowPunct/>
        <w:topLinePunct w:val="0"/>
        <w:autoSpaceDE/>
        <w:autoSpaceDN/>
        <w:bidi w:val="0"/>
        <w:adjustRightInd/>
        <w:snapToGrid w:val="0"/>
        <w:spacing w:before="0" w:after="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76.6%的观众认为兴趣爱好是决定观看演出的最重要的因素。</w:t>
      </w:r>
      <w:r>
        <w:rPr>
          <w:rFonts w:hint="eastAsia" w:ascii="仿宋_GB2312" w:hAnsi="仿宋_GB2312" w:eastAsia="仿宋_GB2312" w:cs="仿宋_GB2312"/>
          <w:b w:val="0"/>
          <w:bCs w:val="0"/>
          <w:sz w:val="32"/>
          <w:szCs w:val="32"/>
          <w:highlight w:val="none"/>
        </w:rPr>
        <w:t>在问到观看演出会考虑哪些因素时，76.6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%的观众选择对演出</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的兴趣和爱好，44.0%的观众选择票价。可见，兴趣是决定是否观看演出的最重要的因素，而票价也是关键因素之一。另外有24.9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%的观众会考虑时间问题、20.2</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%的观众会考虑场馆的位置、19.1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%的观众会考虑家人和朋友等方面的因素。</w:t>
      </w:r>
    </w:p>
    <w:p>
      <w:pPr>
        <w:rPr>
          <w:rFonts w:hint="eastAsia" w:ascii="仿宋_GB2312" w:hAnsi="仿宋_GB2312" w:eastAsia="仿宋_GB2312" w:cs="仿宋_GB2312"/>
          <w:b w:val="0"/>
          <w:bCs w:val="0"/>
          <w:sz w:val="32"/>
          <w:szCs w:val="32"/>
          <w:highlight w:val="none"/>
        </w:rPr>
      </w:pPr>
    </w:p>
    <w:p>
      <w:pPr>
        <w:pStyle w:val="5"/>
        <w:keepNext/>
        <w:keepLines/>
        <w:pageBreakBefore w:val="0"/>
        <w:widowControl w:val="0"/>
        <w:kinsoku/>
        <w:wordWrap/>
        <w:overflowPunct/>
        <w:topLinePunct w:val="0"/>
        <w:autoSpaceDE/>
        <w:autoSpaceDN/>
        <w:bidi w:val="0"/>
        <w:adjustRightInd/>
        <w:snapToGrid w:val="0"/>
        <w:spacing w:before="0" w:after="0"/>
        <w:textAlignment w:val="auto"/>
        <w:rPr>
          <w:rFonts w:hint="eastAsia" w:ascii="仿宋_GB2312" w:hAnsi="仿宋_GB2312" w:eastAsia="仿宋_GB2312" w:cs="仿宋_GB2312"/>
          <w:b/>
          <w:bCs/>
          <w:sz w:val="32"/>
          <w:szCs w:val="32"/>
          <w:highlight w:val="none"/>
        </w:rPr>
      </w:pPr>
      <w:bookmarkStart w:id="64" w:name="_Toc245558673"/>
      <w:bookmarkEnd w:id="64"/>
    </w:p>
    <w:p>
      <w:pPr>
        <w:jc w:val="center"/>
        <w:rPr>
          <w:rFonts w:hint="eastAsia" w:ascii="华文中宋" w:hAnsi="华文中宋" w:eastAsia="华文中宋"/>
          <w:highlight w:val="none"/>
        </w:rPr>
      </w:pPr>
      <w:r>
        <w:rPr>
          <w:rFonts w:ascii="华文中宋" w:hAnsi="华文中宋" w:eastAsia="华文中宋"/>
          <w:highlight w:val="none"/>
        </w:rPr>
        <w:object>
          <v:shape id="_x0000_i1035" o:spt="75" type="#_x0000_t75" style="height:198.8pt;width:283.6pt;" o:ole="t" filled="f" o:preferrelative="t" stroked="f" coordsize="21600,21600">
            <v:path/>
            <v:fill on="f" alignshape="1" focussize="0,0"/>
            <v:stroke on="f"/>
            <v:imagedata r:id="rId71" grayscale="f" bilevel="f" o:title=""/>
            <o:lock v:ext="edit" aspectratio="t"/>
            <w10:wrap type="none"/>
            <w10:anchorlock/>
          </v:shape>
          <o:OLEObject Type="Embed" ProgID="MSGraph.Chart.8" ShapeID="_x0000_i1035" DrawAspect="Content" ObjectID="_1468075736" r:id="rId70">
            <o:LockedField>false</o:LockedField>
          </o:OLEObject>
        </w:object>
      </w:r>
    </w:p>
    <w:p>
      <w:pPr>
        <w:pStyle w:val="18"/>
        <w:spacing w:after="156" w:afterLines="50"/>
        <w:ind w:left="419" w:hanging="62"/>
        <w:jc w:val="center"/>
        <w:rPr>
          <w:rFonts w:hint="eastAsia" w:ascii="仿宋_GB2312" w:hAnsi="仿宋_GB2312" w:eastAsia="仿宋_GB2312" w:cs="仿宋_GB2312"/>
          <w:b w:val="0"/>
          <w:bCs w:val="0"/>
          <w:sz w:val="32"/>
          <w:szCs w:val="32"/>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-2</w:t>
      </w:r>
      <w:r>
        <w:rPr>
          <w:rStyle w:val="19"/>
          <w:rFonts w:hint="eastAsia" w:ascii="华文中宋" w:hAnsi="华文中宋" w:eastAsia="华文中宋"/>
          <w:highlight w:val="none"/>
          <w:lang w:val="en-US" w:eastAsia="zh-CN"/>
        </w:rPr>
        <w:t>0</w:t>
      </w:r>
      <w:r>
        <w:rPr>
          <w:rStyle w:val="19"/>
          <w:rFonts w:hint="eastAsia" w:ascii="华文中宋" w:hAnsi="华文中宋" w:eastAsia="华文中宋"/>
          <w:highlight w:val="none"/>
        </w:rPr>
        <w:t xml:space="preserve"> 决定是否观看演出的因素</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学生、企业职员更看重票价因素。</w:t>
      </w:r>
      <w:r>
        <w:rPr>
          <w:rFonts w:hint="eastAsia" w:ascii="仿宋_GB2312" w:hAnsi="仿宋_GB2312" w:eastAsia="仿宋_GB2312" w:cs="仿宋_GB2312"/>
          <w:b w:val="0"/>
          <w:bCs w:val="0"/>
          <w:sz w:val="32"/>
          <w:szCs w:val="32"/>
          <w:highlight w:val="none"/>
        </w:rPr>
        <w:t>不同职业的人在决定是否观看演出的影响因素上，不存在显著性差异。只是比较而言，学生、企业职员等群体会更看重票价因素。</w: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-2</w:t>
      </w:r>
      <w:r>
        <w:rPr>
          <w:rStyle w:val="19"/>
          <w:rFonts w:hint="eastAsia" w:ascii="华文中宋" w:hAnsi="华文中宋" w:eastAsia="华文中宋"/>
          <w:highlight w:val="none"/>
          <w:lang w:val="en-US" w:eastAsia="zh-CN"/>
        </w:rPr>
        <w:t>1</w:t>
      </w:r>
      <w:r>
        <w:rPr>
          <w:rStyle w:val="19"/>
          <w:rFonts w:hint="eastAsia" w:ascii="华文中宋" w:hAnsi="华文中宋" w:eastAsia="华文中宋"/>
          <w:highlight w:val="none"/>
        </w:rPr>
        <w:t xml:space="preserve"> 不同职业的人决定是否观看演出的因素</w:t>
      </w:r>
    </w:p>
    <w:tbl>
      <w:tblPr>
        <w:tblStyle w:val="13"/>
        <w:tblW w:w="8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789"/>
        <w:gridCol w:w="790"/>
        <w:gridCol w:w="790"/>
        <w:gridCol w:w="790"/>
        <w:gridCol w:w="789"/>
        <w:gridCol w:w="790"/>
        <w:gridCol w:w="790"/>
        <w:gridCol w:w="790"/>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162" w:type="dxa"/>
            <w:shd w:val="clear" w:color="auto" w:fill="C0C0C0"/>
            <w:noWrap/>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影响决策的因素</w:t>
            </w:r>
          </w:p>
        </w:tc>
        <w:tc>
          <w:tcPr>
            <w:tcW w:w="789"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学生</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政府机关/事业单位管理人员</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企业管理人员</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教师</w:t>
            </w:r>
          </w:p>
        </w:tc>
        <w:tc>
          <w:tcPr>
            <w:tcW w:w="789"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政府机关/事业单位职员</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lang w:val="en-US" w:eastAsia="zh-CN"/>
              </w:rPr>
            </w:pPr>
            <w:r>
              <w:rPr>
                <w:rFonts w:hint="eastAsia" w:ascii="华文中宋" w:hAnsi="华文中宋" w:eastAsia="华文中宋"/>
                <w:b/>
                <w:color w:val="000000"/>
                <w:sz w:val="18"/>
                <w:szCs w:val="18"/>
                <w:highlight w:val="none"/>
                <w:lang w:val="en-US" w:eastAsia="zh-CN"/>
              </w:rPr>
              <w:t>企业</w:t>
            </w:r>
          </w:p>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职员</w:t>
            </w:r>
          </w:p>
        </w:tc>
        <w:tc>
          <w:tcPr>
            <w:tcW w:w="790" w:type="dxa"/>
            <w:shd w:val="clear" w:color="auto" w:fill="C0C0C0"/>
            <w:noWrap w:val="0"/>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个体经营者</w:t>
            </w:r>
          </w:p>
        </w:tc>
        <w:tc>
          <w:tcPr>
            <w:tcW w:w="790" w:type="dxa"/>
            <w:shd w:val="clear" w:color="auto" w:fill="C0C0C0"/>
            <w:noWrap/>
            <w:vAlign w:val="center"/>
          </w:tcPr>
          <w:p>
            <w:pPr>
              <w:spacing w:line="0" w:lineRule="atLeast"/>
              <w:jc w:val="center"/>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待业/下岗/离退休</w:t>
            </w:r>
          </w:p>
        </w:tc>
        <w:tc>
          <w:tcPr>
            <w:tcW w:w="790" w:type="dxa"/>
            <w:shd w:val="clear" w:color="auto" w:fill="C0C0C0"/>
            <w:noWrap/>
            <w:vAlign w:val="center"/>
          </w:tcPr>
          <w:p>
            <w:pPr>
              <w:spacing w:line="0" w:lineRule="atLeast"/>
              <w:jc w:val="center"/>
              <w:rPr>
                <w:rFonts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对演出</w:t>
            </w:r>
            <w:r>
              <w:rPr>
                <w:rFonts w:hint="eastAsia" w:ascii="华文中宋" w:hAnsi="华文中宋" w:eastAsia="华文中宋"/>
                <w:color w:val="000000"/>
                <w:sz w:val="18"/>
                <w:szCs w:val="18"/>
                <w:highlight w:val="none"/>
                <w:lang w:eastAsia="zh-CN"/>
              </w:rPr>
              <w:t>演出</w:t>
            </w:r>
            <w:r>
              <w:rPr>
                <w:rFonts w:hint="eastAsia" w:ascii="华文中宋" w:hAnsi="华文中宋" w:eastAsia="华文中宋"/>
                <w:color w:val="000000"/>
                <w:sz w:val="18"/>
                <w:szCs w:val="18"/>
                <w:highlight w:val="none"/>
              </w:rPr>
              <w:t>的兴趣和爱好</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74.0%</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75.5%</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81.2%</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75.0%</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76.5%</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81.7%</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88.5%</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60.5%</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票价</w:t>
            </w:r>
          </w:p>
        </w:tc>
        <w:tc>
          <w:tcPr>
            <w:tcW w:w="789"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56.0%</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30.6%</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39.1%</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45.5%</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47.1%</w:t>
            </w:r>
          </w:p>
        </w:tc>
        <w:tc>
          <w:tcPr>
            <w:tcW w:w="790" w:type="dxa"/>
            <w:shd w:val="clear" w:color="auto" w:fill="C0C0C0"/>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53.7%</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46.2%</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44.2%</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时间冲突</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32.0%</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22.4%</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24.6%</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15.9%</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29.4%</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30.5%</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15.4%</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14.0%</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演出场馆的位置</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22.0%</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22.4%</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23.2%</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25.0%</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5.9%</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22.0%</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15.4%</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25.6%</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家人和朋友</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16.0%</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20.4%</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17.4%</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22.7%</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23.5%</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23.2%</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15.4%</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14.0%</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 xml:space="preserve">其他      </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6.0%</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4.1%</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2.3%</w:t>
            </w:r>
          </w:p>
        </w:tc>
        <w:tc>
          <w:tcPr>
            <w:tcW w:w="789"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5.9%</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1.2%</w:t>
            </w:r>
          </w:p>
        </w:tc>
        <w:tc>
          <w:tcPr>
            <w:tcW w:w="790" w:type="dxa"/>
            <w:shd w:val="clear" w:color="auto" w:fill="auto"/>
            <w:noWrap w:val="0"/>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2.3%</w:t>
            </w:r>
          </w:p>
        </w:tc>
        <w:tc>
          <w:tcPr>
            <w:tcW w:w="790" w:type="dxa"/>
            <w:shd w:val="clear" w:color="auto" w:fill="auto"/>
            <w:noWrap/>
            <w:vAlign w:val="center"/>
          </w:tcPr>
          <w:p>
            <w:pPr>
              <w:jc w:val="center"/>
              <w:rPr>
                <w:rFonts w:ascii="华文中宋" w:hAnsi="华文中宋" w:eastAsia="华文中宋" w:cs="宋体"/>
                <w:color w:val="000000"/>
                <w:sz w:val="18"/>
                <w:szCs w:val="18"/>
                <w:highlight w:val="none"/>
              </w:rPr>
            </w:pPr>
            <w:r>
              <w:rPr>
                <w:rFonts w:hint="eastAsia" w:ascii="华文中宋" w:hAnsi="华文中宋" w:eastAsia="华文中宋"/>
                <w:color w:val="000000"/>
                <w:sz w:val="18"/>
                <w:szCs w:val="18"/>
                <w:highlight w:val="none"/>
              </w:rPr>
              <w:t>0.0%</w:t>
            </w:r>
          </w:p>
        </w:tc>
      </w:tr>
    </w:tbl>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bookmarkStart w:id="65" w:name="_Toc245558674"/>
      <w:r>
        <w:rPr>
          <w:rFonts w:hint="eastAsia" w:ascii="仿宋_GB2312" w:hAnsi="仿宋_GB2312" w:eastAsia="仿宋_GB2312" w:cs="仿宋_GB2312"/>
          <w:b/>
          <w:bCs/>
          <w:sz w:val="32"/>
          <w:szCs w:val="32"/>
          <w:highlight w:val="none"/>
          <w:lang w:val="en-US" w:eastAsia="zh-CN"/>
        </w:rPr>
        <w:t xml:space="preserve">4. </w:t>
      </w:r>
      <w:r>
        <w:rPr>
          <w:rFonts w:hint="eastAsia" w:ascii="仿宋_GB2312" w:hAnsi="仿宋_GB2312" w:eastAsia="仿宋_GB2312" w:cs="仿宋_GB2312"/>
          <w:b/>
          <w:bCs/>
          <w:sz w:val="32"/>
          <w:szCs w:val="32"/>
          <w:highlight w:val="none"/>
        </w:rPr>
        <w:t>可以接受的票价范围：85</w:t>
      </w:r>
      <w:r>
        <w:rPr>
          <w:rFonts w:hint="eastAsia" w:ascii="仿宋_GB2312" w:hAnsi="仿宋_GB2312" w:eastAsia="仿宋_GB2312" w:cs="仿宋_GB2312"/>
          <w:b/>
          <w:bCs/>
          <w:sz w:val="32"/>
          <w:szCs w:val="32"/>
          <w:highlight w:val="none"/>
          <w:lang w:val="en-US" w:eastAsia="zh-CN"/>
        </w:rPr>
        <w:t>.0</w:t>
      </w:r>
      <w:r>
        <w:rPr>
          <w:rFonts w:hint="eastAsia" w:ascii="仿宋_GB2312" w:hAnsi="仿宋_GB2312" w:eastAsia="仿宋_GB2312" w:cs="仿宋_GB2312"/>
          <w:b/>
          <w:bCs/>
          <w:sz w:val="32"/>
          <w:szCs w:val="32"/>
          <w:highlight w:val="none"/>
        </w:rPr>
        <w:t>%的观众可接受的价格在</w:t>
      </w:r>
      <w:r>
        <w:rPr>
          <w:rFonts w:hint="eastAsia" w:ascii="仿宋_GB2312" w:hAnsi="仿宋_GB2312"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rPr>
        <w:t>00元以下</w:t>
      </w:r>
      <w:bookmarkEnd w:id="65"/>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rPr>
        <w:t>85</w:t>
      </w:r>
      <w:r>
        <w:rPr>
          <w:rFonts w:hint="eastAsia" w:ascii="仿宋_GB2312" w:hAnsi="仿宋_GB2312" w:eastAsia="仿宋_GB2312" w:cs="仿宋_GB2312"/>
          <w:b/>
          <w:bCs/>
          <w:sz w:val="32"/>
          <w:szCs w:val="32"/>
          <w:highlight w:val="none"/>
          <w:lang w:val="en-US" w:eastAsia="zh-CN"/>
        </w:rPr>
        <w:t>.0</w:t>
      </w:r>
      <w:r>
        <w:rPr>
          <w:rFonts w:hint="eastAsia" w:ascii="仿宋_GB2312" w:hAnsi="仿宋_GB2312" w:eastAsia="仿宋_GB2312" w:cs="仿宋_GB2312"/>
          <w:b/>
          <w:bCs/>
          <w:sz w:val="32"/>
          <w:szCs w:val="32"/>
          <w:highlight w:val="none"/>
        </w:rPr>
        <w:t>%的观众可接受的价格为</w:t>
      </w:r>
      <w:r>
        <w:rPr>
          <w:rFonts w:hint="eastAsia" w:ascii="仿宋_GB2312" w:hAnsi="仿宋_GB2312"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rPr>
        <w:t>00元以下。</w:t>
      </w:r>
      <w:r>
        <w:rPr>
          <w:rFonts w:hint="eastAsia" w:ascii="仿宋_GB2312" w:hAnsi="仿宋_GB2312" w:eastAsia="仿宋_GB2312" w:cs="仿宋_GB2312"/>
          <w:b w:val="0"/>
          <w:bCs w:val="0"/>
          <w:sz w:val="32"/>
          <w:szCs w:val="32"/>
          <w:highlight w:val="none"/>
        </w:rPr>
        <w:t>针对文艺演出可以接受的票价范围，观众做出了不同的回应，选择100-</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99元票价的观众最多，占总体的54.6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%，而选择100元以下的观众也占据了30.8</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%的比例，两者相加超过了85</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%，可见，绝大多数的观众还是更愿意接受较低的票价。</w:t>
      </w:r>
    </w:p>
    <w:p>
      <w:pPr>
        <w:jc w:val="center"/>
        <w:rPr>
          <w:rFonts w:hint="eastAsia" w:ascii="华文中宋" w:hAnsi="华文中宋" w:eastAsia="华文中宋"/>
          <w:highlight w:val="none"/>
        </w:rPr>
      </w:pPr>
      <w:r>
        <w:rPr>
          <w:rFonts w:ascii="华文中宋" w:hAnsi="华文中宋" w:eastAsia="华文中宋"/>
          <w:highlight w:val="none"/>
        </w:rPr>
        <w:object>
          <v:shape id="_x0000_i1036" o:spt="75" type="#_x0000_t75" style="height:179.1pt;width:305.1pt;" o:ole="t" filled="f" o:preferrelative="f" stroked="f" coordsize="21600,21600">
            <v:path/>
            <v:fill on="f" focussize="0,0"/>
            <v:stroke on="f"/>
            <v:imagedata r:id="rId73" o:title=""/>
            <o:lock v:ext="edit" aspectratio="f"/>
            <w10:wrap type="none"/>
            <w10:anchorlock/>
          </v:shape>
          <o:OLEObject Type="Embed" ProgID="MSGraph.Chart.8" ShapeID="_x0000_i1036" DrawAspect="Content" ObjectID="_1468075737" r:id="rId72">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-2</w:t>
      </w:r>
      <w:r>
        <w:rPr>
          <w:rStyle w:val="19"/>
          <w:rFonts w:hint="eastAsia" w:ascii="华文中宋" w:hAnsi="华文中宋" w:eastAsia="华文中宋"/>
          <w:highlight w:val="none"/>
          <w:lang w:val="en-US" w:eastAsia="zh-CN"/>
        </w:rPr>
        <w:t xml:space="preserve">2 </w:t>
      </w:r>
      <w:r>
        <w:rPr>
          <w:rStyle w:val="19"/>
          <w:rFonts w:hint="eastAsia" w:ascii="华文中宋" w:hAnsi="华文中宋" w:eastAsia="华文中宋"/>
          <w:highlight w:val="none"/>
        </w:rPr>
        <w:t xml:space="preserve"> 可以接受的票价范围</w:t>
      </w:r>
    </w:p>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接受票价的高低与收入水平成正比。</w:t>
      </w:r>
      <w:r>
        <w:rPr>
          <w:rFonts w:hint="eastAsia" w:ascii="仿宋_GB2312" w:hAnsi="仿宋_GB2312" w:eastAsia="仿宋_GB2312" w:cs="仿宋_GB2312"/>
          <w:b w:val="0"/>
          <w:bCs w:val="0"/>
          <w:sz w:val="32"/>
          <w:szCs w:val="32"/>
          <w:highlight w:val="none"/>
        </w:rPr>
        <w:t>通过对不同收入的观众愿意接受的票价范围的对比，可以看出愿意接受票价的高低与收入水平基本成正相关关系，即收入越高，可以接受的票价范围也越高。</w:t>
      </w:r>
    </w:p>
    <w:p>
      <w:pPr>
        <w:rPr>
          <w:rFonts w:hint="eastAsia"/>
          <w:highlight w:val="none"/>
        </w:rPr>
      </w:pPr>
    </w:p>
    <w:p>
      <w:pPr>
        <w:pStyle w:val="18"/>
        <w:keepNext w:val="0"/>
        <w:keepLines w:val="0"/>
        <w:pageBreakBefore w:val="0"/>
        <w:widowControl w:val="0"/>
        <w:kinsoku/>
        <w:wordWrap/>
        <w:overflowPunct/>
        <w:topLinePunct w:val="0"/>
        <w:autoSpaceDE/>
        <w:autoSpaceDN/>
        <w:bidi w:val="0"/>
        <w:adjustRightInd/>
        <w:snapToGrid/>
        <w:spacing w:after="156" w:afterLines="50"/>
        <w:ind w:left="419" w:hanging="62"/>
        <w:jc w:val="center"/>
        <w:textAlignment w:val="auto"/>
        <w:rPr>
          <w:rStyle w:val="19"/>
          <w:rFonts w:hint="eastAsia" w:ascii="华文中宋" w:hAnsi="华文中宋" w:eastAsia="华文中宋"/>
          <w:highlight w:val="none"/>
          <w:lang w:eastAsia="zh-CN"/>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-2</w:t>
      </w:r>
      <w:r>
        <w:rPr>
          <w:rStyle w:val="19"/>
          <w:rFonts w:hint="eastAsia" w:ascii="华文中宋" w:hAnsi="华文中宋" w:eastAsia="华文中宋"/>
          <w:highlight w:val="none"/>
          <w:lang w:val="en-US" w:eastAsia="zh-CN"/>
        </w:rPr>
        <w:t>3</w:t>
      </w:r>
      <w:r>
        <w:rPr>
          <w:rStyle w:val="19"/>
          <w:rFonts w:hint="eastAsia" w:ascii="华文中宋" w:hAnsi="华文中宋" w:eastAsia="华文中宋"/>
          <w:highlight w:val="none"/>
        </w:rPr>
        <w:t xml:space="preserve"> 不同收入的人可以接受的票价范围</w:t>
      </w:r>
      <w:r>
        <w:rPr>
          <w:rStyle w:val="19"/>
          <w:rFonts w:hint="eastAsia" w:ascii="华文中宋" w:hAnsi="华文中宋" w:eastAsia="华文中宋"/>
          <w:highlight w:val="none"/>
          <w:lang w:eastAsia="zh-CN"/>
        </w:rPr>
        <w:t>（</w:t>
      </w:r>
      <w:r>
        <w:rPr>
          <w:rStyle w:val="19"/>
          <w:rFonts w:hint="eastAsia" w:ascii="华文中宋" w:hAnsi="华文中宋" w:eastAsia="华文中宋"/>
          <w:highlight w:val="none"/>
          <w:lang w:val="en-US" w:eastAsia="zh-CN"/>
        </w:rPr>
        <w:t>每月可支配收入</w:t>
      </w:r>
      <w:r>
        <w:rPr>
          <w:rStyle w:val="19"/>
          <w:rFonts w:hint="eastAsia" w:ascii="华文中宋" w:hAnsi="华文中宋" w:eastAsia="华文中宋"/>
          <w:highlight w:val="none"/>
          <w:lang w:eastAsia="zh-CN"/>
        </w:rPr>
        <w:t>）</w:t>
      </w:r>
    </w:p>
    <w:tbl>
      <w:tblPr>
        <w:tblStyle w:val="13"/>
        <w:tblW w:w="7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11"/>
        <w:gridCol w:w="1112"/>
        <w:gridCol w:w="1112"/>
        <w:gridCol w:w="1111"/>
        <w:gridCol w:w="111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162" w:type="dxa"/>
            <w:shd w:val="clear" w:color="auto" w:fill="C0C0C0"/>
            <w:noWrap/>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p>
        </w:tc>
        <w:tc>
          <w:tcPr>
            <w:tcW w:w="1111" w:type="dxa"/>
            <w:shd w:val="clear" w:color="auto" w:fill="C0C0C0"/>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2000元以下</w:t>
            </w:r>
          </w:p>
        </w:tc>
        <w:tc>
          <w:tcPr>
            <w:tcW w:w="1112" w:type="dxa"/>
            <w:shd w:val="clear" w:color="auto" w:fill="C0C0C0"/>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2000-</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3999元</w:t>
            </w:r>
          </w:p>
        </w:tc>
        <w:tc>
          <w:tcPr>
            <w:tcW w:w="1112" w:type="dxa"/>
            <w:shd w:val="clear" w:color="auto" w:fill="C0C0C0"/>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4000-</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5999元</w:t>
            </w:r>
          </w:p>
        </w:tc>
        <w:tc>
          <w:tcPr>
            <w:tcW w:w="1111" w:type="dxa"/>
            <w:shd w:val="clear" w:color="auto" w:fill="C0C0C0"/>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6000-</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7999元</w:t>
            </w:r>
          </w:p>
        </w:tc>
        <w:tc>
          <w:tcPr>
            <w:tcW w:w="1112" w:type="dxa"/>
            <w:shd w:val="clear" w:color="auto" w:fill="C0C0C0"/>
            <w:noWrap/>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8000-</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9999元</w:t>
            </w:r>
          </w:p>
        </w:tc>
        <w:tc>
          <w:tcPr>
            <w:tcW w:w="1112" w:type="dxa"/>
            <w:shd w:val="clear" w:color="auto" w:fill="C0C0C0"/>
            <w:noWrap/>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华文中宋" w:hAnsi="华文中宋" w:eastAsia="华文中宋" w:cs="宋体"/>
                <w:b/>
                <w:color w:val="000000"/>
                <w:kern w:val="0"/>
                <w:sz w:val="18"/>
                <w:szCs w:val="18"/>
                <w:highlight w:val="none"/>
              </w:rPr>
            </w:pPr>
            <w:r>
              <w:rPr>
                <w:rFonts w:hint="eastAsia" w:ascii="华文中宋" w:hAnsi="华文中宋" w:eastAsia="华文中宋" w:cs="宋体"/>
                <w:b/>
                <w:color w:val="000000"/>
                <w:kern w:val="0"/>
                <w:sz w:val="18"/>
                <w:szCs w:val="18"/>
                <w:highlight w:val="none"/>
              </w:rPr>
              <w:t>10000元及以上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100元以下</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45.0%</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29.2%</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22.3%</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17.0%</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31.6%</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100-299元</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46.8%</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56.9%</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66.0%</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70.2%</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42.1%</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300-499元</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7.3%</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11.5%</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10.6%</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10.6%</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15.8%</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500-699元</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0</w:t>
            </w:r>
            <w:r>
              <w:rPr>
                <w:rFonts w:ascii="华文中宋" w:hAnsi="华文中宋" w:eastAsia="华文中宋"/>
                <w:color w:val="000000"/>
                <w:sz w:val="18"/>
                <w:szCs w:val="18"/>
                <w:highlight w:val="none"/>
              </w:rPr>
              <w:t>.9%</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2.3%</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0.00%</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2.1%</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5.3%</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textAlignment w:val="auto"/>
              <w:rPr>
                <w:rFonts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700元及以上</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0.0%</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0.0%</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1.1%</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hint="eastAsia" w:ascii="华文中宋" w:hAnsi="华文中宋" w:eastAsia="华文中宋"/>
                <w:color w:val="000000"/>
                <w:sz w:val="18"/>
                <w:szCs w:val="18"/>
                <w:highlight w:val="none"/>
              </w:rPr>
              <w:t>0.0%</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5.3%</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华文中宋" w:hAnsi="华文中宋" w:eastAsia="华文中宋"/>
                <w:b/>
                <w:color w:val="000000"/>
                <w:sz w:val="18"/>
                <w:szCs w:val="18"/>
                <w:highlight w:val="none"/>
              </w:rPr>
            </w:pPr>
            <w:r>
              <w:rPr>
                <w:rFonts w:hint="eastAsia" w:ascii="华文中宋" w:hAnsi="华文中宋" w:eastAsia="华文中宋"/>
                <w:b/>
                <w:color w:val="000000"/>
                <w:sz w:val="18"/>
                <w:szCs w:val="18"/>
                <w:highlight w:val="none"/>
              </w:rPr>
              <w:t>总计</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100.0%</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100.0%</w:t>
            </w:r>
          </w:p>
        </w:tc>
        <w:tc>
          <w:tcPr>
            <w:tcW w:w="111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100.0%</w:t>
            </w:r>
          </w:p>
        </w:tc>
        <w:tc>
          <w:tcPr>
            <w:tcW w:w="111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100.0%</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100.0%</w:t>
            </w:r>
          </w:p>
        </w:tc>
        <w:tc>
          <w:tcPr>
            <w:tcW w:w="111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华文中宋" w:hAnsi="华文中宋" w:eastAsia="华文中宋"/>
                <w:color w:val="000000"/>
                <w:sz w:val="18"/>
                <w:szCs w:val="18"/>
                <w:highlight w:val="none"/>
              </w:rPr>
            </w:pPr>
            <w:r>
              <w:rPr>
                <w:rFonts w:ascii="华文中宋" w:hAnsi="华文中宋" w:eastAsia="华文中宋"/>
                <w:color w:val="000000"/>
                <w:sz w:val="18"/>
                <w:szCs w:val="18"/>
                <w:highlight w:val="none"/>
              </w:rPr>
              <w:t>100.0%</w:t>
            </w:r>
            <w:r>
              <w:rPr>
                <w:rFonts w:ascii="华文中宋" w:hAnsi="华文中宋" w:eastAsia="华文中宋"/>
                <w:color w:val="000000"/>
                <w:sz w:val="18"/>
                <w:szCs w:val="18"/>
                <w:highlight w:val="none"/>
              </w:rPr>
              <w:cr/>
            </w:r>
          </w:p>
        </w:tc>
      </w:tr>
    </w:tbl>
    <w:p>
      <w:pPr>
        <w:pStyle w:val="5"/>
        <w:keepNext/>
        <w:keepLines/>
        <w:pageBreakBefore w:val="0"/>
        <w:widowControl w:val="0"/>
        <w:kinsoku/>
        <w:wordWrap/>
        <w:overflowPunct/>
        <w:topLinePunct w:val="0"/>
        <w:autoSpaceDE/>
        <w:autoSpaceDN/>
        <w:bidi w:val="0"/>
        <w:adjustRightInd/>
        <w:snapToGrid w:val="0"/>
        <w:spacing w:before="0" w:after="0"/>
        <w:textAlignment w:val="auto"/>
        <w:rPr>
          <w:rFonts w:hint="eastAsia" w:ascii="黑体" w:hAnsi="黑体" w:cs="黑体"/>
          <w:b w:val="0"/>
          <w:bCs w:val="0"/>
          <w:sz w:val="32"/>
          <w:szCs w:val="32"/>
          <w:highlight w:val="none"/>
          <w:lang w:val="en-US" w:eastAsia="zh-CN"/>
        </w:rPr>
      </w:pP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黑体" w:hAnsi="黑体" w:eastAsia="黑体" w:cs="黑体"/>
          <w:b w:val="0"/>
          <w:bCs w:val="0"/>
          <w:sz w:val="32"/>
          <w:szCs w:val="32"/>
          <w:highlight w:val="none"/>
        </w:rPr>
      </w:pPr>
      <w:r>
        <w:rPr>
          <w:rFonts w:hint="eastAsia" w:ascii="黑体" w:hAnsi="黑体" w:cs="黑体"/>
          <w:b w:val="0"/>
          <w:bCs w:val="0"/>
          <w:sz w:val="32"/>
          <w:szCs w:val="32"/>
          <w:highlight w:val="none"/>
          <w:lang w:val="en-US" w:eastAsia="zh-CN"/>
        </w:rPr>
        <w:t>五</w:t>
      </w:r>
      <w:r>
        <w:rPr>
          <w:rFonts w:hint="eastAsia" w:ascii="黑体" w:hAnsi="黑体" w:eastAsia="黑体" w:cs="黑体"/>
          <w:b w:val="0"/>
          <w:bCs w:val="0"/>
          <w:sz w:val="32"/>
          <w:szCs w:val="32"/>
          <w:highlight w:val="none"/>
        </w:rPr>
        <w:t>、</w:t>
      </w:r>
      <w:r>
        <w:rPr>
          <w:rFonts w:hint="eastAsia" w:ascii="黑体" w:hAnsi="黑体" w:cs="黑体"/>
          <w:b w:val="0"/>
          <w:bCs w:val="0"/>
          <w:sz w:val="32"/>
          <w:szCs w:val="32"/>
          <w:highlight w:val="none"/>
          <w:lang w:val="en-US" w:eastAsia="zh-CN"/>
        </w:rPr>
        <w:t>四川省</w:t>
      </w:r>
      <w:r>
        <w:rPr>
          <w:rFonts w:hint="eastAsia" w:ascii="黑体" w:hAnsi="黑体" w:eastAsia="黑体" w:cs="黑体"/>
          <w:b w:val="0"/>
          <w:bCs w:val="0"/>
          <w:sz w:val="32"/>
          <w:szCs w:val="32"/>
          <w:highlight w:val="none"/>
        </w:rPr>
        <w:t>不同类型演出的观众特征分析</w:t>
      </w: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我们主要从性别、年龄、学历、职业、收入等方面来对不同类型的演出观众进行简要分析，以寻求各种表演类型的观众的基本特征。</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1．音乐会的观众特征分析</w:t>
      </w: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音乐会的观众以女性、年轻人、高学历人群为主体，显示出年轻化、高学历化、高收入化的特征。</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女性观众占2/3。</w:t>
      </w:r>
      <w:r>
        <w:rPr>
          <w:rFonts w:hint="eastAsia" w:ascii="仿宋_GB2312" w:hAnsi="仿宋_GB2312" w:eastAsia="仿宋_GB2312" w:cs="仿宋_GB2312"/>
          <w:b w:val="0"/>
          <w:bCs w:val="0"/>
          <w:sz w:val="32"/>
          <w:szCs w:val="32"/>
          <w:highlight w:val="none"/>
        </w:rPr>
        <w:t>从性别来看，女性占据了67.7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%的比例。</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年轻人是最大的观众群体。</w:t>
      </w:r>
      <w:r>
        <w:rPr>
          <w:rFonts w:hint="eastAsia" w:ascii="仿宋_GB2312" w:hAnsi="仿宋_GB2312" w:eastAsia="仿宋_GB2312" w:cs="仿宋_GB2312"/>
          <w:b w:val="0"/>
          <w:bCs w:val="0"/>
          <w:sz w:val="32"/>
          <w:szCs w:val="32"/>
          <w:highlight w:val="none"/>
        </w:rPr>
        <w:t>从年龄来看，30岁以下的人群是最大的观众群体，占到总数的63%，其次是31-40岁的观众群，占17.7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本科以上学历占3/4。</w:t>
      </w:r>
      <w:r>
        <w:rPr>
          <w:rFonts w:hint="eastAsia" w:ascii="仿宋_GB2312" w:hAnsi="仿宋_GB2312" w:eastAsia="仿宋_GB2312" w:cs="仿宋_GB2312"/>
          <w:b w:val="0"/>
          <w:bCs w:val="0"/>
          <w:sz w:val="32"/>
          <w:szCs w:val="32"/>
          <w:highlight w:val="none"/>
        </w:rPr>
        <w:t>从学历来看，本科以上学历的人占据了77.4</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%。从职业构成来看，企业单位管理人员及职员、学生、教师是观看音乐会的主体，这几类人群占据了总数的75.7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pStyle w:val="17"/>
        <w:ind w:firstLine="643"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lang w:val="en-US" w:eastAsia="zh-CN"/>
        </w:rPr>
        <w:t>平均每月可支配收入4</w:t>
      </w:r>
      <w:r>
        <w:rPr>
          <w:rFonts w:hint="eastAsia" w:ascii="仿宋_GB2312" w:hAnsi="仿宋_GB2312" w:eastAsia="仿宋_GB2312" w:cs="仿宋_GB2312"/>
          <w:b/>
          <w:bCs/>
          <w:sz w:val="32"/>
          <w:szCs w:val="32"/>
          <w:highlight w:val="none"/>
        </w:rPr>
        <w:t>000元以上的观众占一半。</w:t>
      </w:r>
      <w:r>
        <w:rPr>
          <w:rFonts w:hint="eastAsia" w:ascii="仿宋_GB2312" w:hAnsi="仿宋_GB2312" w:eastAsia="仿宋_GB2312" w:cs="仿宋_GB2312"/>
          <w:b w:val="0"/>
          <w:bCs w:val="0"/>
          <w:sz w:val="32"/>
          <w:szCs w:val="32"/>
          <w:highlight w:val="none"/>
        </w:rPr>
        <w:t>从收入构成来看，高收入的人群占据了较大的比例，</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在4000元以上的观众占到一半以上，其中有10.3</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%的观众的</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在10000元以上。从居住地来看，91.9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%的观众为</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常驻人口，另有3.2</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%的观众为外国人。</w:t>
      </w:r>
    </w:p>
    <w:p>
      <w:pPr>
        <w:jc w:val="center"/>
        <w:rPr>
          <w:rFonts w:hint="eastAsia" w:ascii="华文中宋" w:hAnsi="华文中宋" w:eastAsia="华文中宋"/>
          <w:highlight w:val="none"/>
        </w:rPr>
      </w:pPr>
      <w:r>
        <w:rPr>
          <w:rFonts w:ascii="华文中宋" w:hAnsi="华文中宋" w:eastAsia="华文中宋"/>
          <w:highlight w:val="none"/>
        </w:rPr>
        <w:object>
          <v:shape id="_x0000_i1037" o:spt="75" type="#_x0000_t75" style="height:176.8pt;width:302.8pt;" o:ole="t" filled="f" o:preferrelative="f" stroked="f" coordsize="21600,21600">
            <v:path/>
            <v:fill on="f" alignshape="1" focussize="0,0"/>
            <v:stroke on="f"/>
            <v:imagedata r:id="rId75" grayscale="f" bilevel="f" o:title=""/>
            <o:lock v:ext="edit" aspectratio="f"/>
            <w10:wrap type="none"/>
            <w10:anchorlock/>
          </v:shape>
          <o:OLEObject Type="Embed" ProgID="MSGraph.Chart.8" ShapeID="_x0000_i1037" DrawAspect="Content" ObjectID="_1468075738" r:id="rId74">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-2</w:t>
      </w:r>
      <w:r>
        <w:rPr>
          <w:rStyle w:val="19"/>
          <w:rFonts w:hint="eastAsia" w:ascii="华文中宋" w:hAnsi="华文中宋" w:eastAsia="华文中宋"/>
          <w:highlight w:val="none"/>
          <w:lang w:val="en-US" w:eastAsia="zh-CN"/>
        </w:rPr>
        <w:t xml:space="preserve">4 </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音乐会的观众年龄构成</w:t>
      </w:r>
    </w:p>
    <w:p>
      <w:pPr>
        <w:pStyle w:val="18"/>
        <w:spacing w:after="156" w:afterLines="50"/>
        <w:ind w:left="419" w:hanging="62"/>
        <w:jc w:val="center"/>
        <w:rPr>
          <w:rStyle w:val="19"/>
          <w:rFonts w:hint="eastAsia" w:ascii="华文中宋" w:hAnsi="华文中宋" w:eastAsia="华文中宋"/>
          <w:highlight w:val="none"/>
        </w:rPr>
      </w:pPr>
    </w:p>
    <w:p>
      <w:pPr>
        <w:pStyle w:val="18"/>
        <w:spacing w:after="156" w:afterLines="50"/>
        <w:ind w:left="419" w:hanging="62"/>
        <w:jc w:val="center"/>
        <w:rPr>
          <w:rStyle w:val="19"/>
          <w:rFonts w:hint="eastAsia" w:ascii="华文中宋" w:hAnsi="华文中宋" w:eastAsia="华文中宋"/>
          <w:highlight w:val="none"/>
        </w:rPr>
      </w:pPr>
    </w:p>
    <w:p>
      <w:pPr>
        <w:pStyle w:val="18"/>
        <w:spacing w:after="156" w:afterLines="50"/>
        <w:ind w:left="419" w:hanging="62"/>
        <w:jc w:val="center"/>
        <w:rPr>
          <w:rStyle w:val="19"/>
          <w:rFonts w:hint="eastAsia" w:ascii="华文中宋" w:hAnsi="华文中宋" w:eastAsia="华文中宋"/>
          <w:highlight w:val="none"/>
        </w:rPr>
      </w:pPr>
    </w:p>
    <w:p>
      <w:pPr>
        <w:jc w:val="center"/>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38" o:spt="75" type="#_x0000_t75" style="height:176.8pt;width:302.8pt;" o:ole="t" filled="f" o:preferrelative="f" stroked="f" coordsize="21600,21600">
            <v:path/>
            <v:fill on="f" alignshape="1" focussize="0,0"/>
            <v:stroke on="f"/>
            <v:imagedata r:id="rId77" grayscale="f" bilevel="f" o:title=""/>
            <o:lock v:ext="edit" aspectratio="f"/>
            <w10:wrap type="none"/>
            <w10:anchorlock/>
          </v:shape>
          <o:OLEObject Type="Embed" ProgID="MSGraph.Chart.8" ShapeID="_x0000_i1038" DrawAspect="Content" ObjectID="_1468075739" r:id="rId76">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-2</w:t>
      </w:r>
      <w:r>
        <w:rPr>
          <w:rStyle w:val="19"/>
          <w:rFonts w:hint="eastAsia" w:ascii="华文中宋" w:hAnsi="华文中宋" w:eastAsia="华文中宋"/>
          <w:highlight w:val="none"/>
          <w:lang w:val="en-US" w:eastAsia="zh-CN"/>
        </w:rPr>
        <w:t xml:space="preserve">5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音乐会的观众收入构成</w:t>
      </w:r>
    </w:p>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66" w:name="_Toc245558677"/>
      <w:r>
        <w:rPr>
          <w:rFonts w:hint="eastAsia" w:ascii="仿宋_GB2312" w:hAnsi="仿宋_GB2312" w:eastAsia="仿宋_GB2312" w:cs="仿宋_GB2312"/>
          <w:b/>
          <w:bCs/>
          <w:sz w:val="32"/>
          <w:szCs w:val="32"/>
          <w:highlight w:val="none"/>
        </w:rPr>
        <w:t>2．话剧的观众特征分析</w:t>
      </w:r>
      <w:bookmarkEnd w:id="66"/>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女性观众比例高于男性。</w:t>
      </w:r>
      <w:r>
        <w:rPr>
          <w:rFonts w:hint="eastAsia" w:ascii="仿宋_GB2312" w:hAnsi="仿宋_GB2312" w:eastAsia="仿宋_GB2312" w:cs="仿宋_GB2312"/>
          <w:b w:val="0"/>
          <w:bCs w:val="0"/>
          <w:sz w:val="32"/>
          <w:szCs w:val="32"/>
          <w:highlight w:val="none"/>
        </w:rPr>
        <w:t>数据显示，在话剧的调查对象中女性观众占据了64.8</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%，与音乐会呈现出相似的观众性别构成。</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年轻人占主体。</w:t>
      </w:r>
      <w:r>
        <w:rPr>
          <w:rFonts w:hint="eastAsia" w:ascii="仿宋_GB2312" w:hAnsi="仿宋_GB2312" w:eastAsia="仿宋_GB2312" w:cs="仿宋_GB2312"/>
          <w:b w:val="0"/>
          <w:bCs w:val="0"/>
          <w:sz w:val="32"/>
          <w:szCs w:val="32"/>
          <w:highlight w:val="none"/>
        </w:rPr>
        <w:t>20-30岁的年轻观众占到总数的64.8</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%，其次是31-40岁的观众群，占总数的24.1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%，另有11.1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%的观众群是41-50岁的观众。</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高学历特征明显。</w:t>
      </w:r>
      <w:r>
        <w:rPr>
          <w:rFonts w:hint="eastAsia" w:ascii="仿宋_GB2312" w:hAnsi="仿宋_GB2312" w:eastAsia="仿宋_GB2312" w:cs="仿宋_GB2312"/>
          <w:b w:val="0"/>
          <w:bCs w:val="0"/>
          <w:sz w:val="32"/>
          <w:szCs w:val="32"/>
          <w:highlight w:val="none"/>
        </w:rPr>
        <w:t>几乎绝大部分的观众都拥有本科及以上的学历。其中本科学历占61.1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%，硕士及以上学历占25.9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%，大专占11.1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%，高中或中专及以下占1.9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收入水平相对较高。</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在4000元以上的观众占总体的50%，其中</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10000元以上的观众占10%。</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2000元以下的观众占据23.1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jc w:val="center"/>
        <w:rPr>
          <w:rFonts w:hint="eastAsia" w:ascii="华文中宋" w:hAnsi="华文中宋" w:eastAsia="华文中宋"/>
          <w:highlight w:val="none"/>
        </w:rPr>
      </w:pPr>
      <w:r>
        <w:rPr>
          <w:rFonts w:ascii="华文中宋" w:hAnsi="华文中宋" w:eastAsia="华文中宋"/>
          <w:highlight w:val="none"/>
        </w:rPr>
        <w:object>
          <v:shape id="_x0000_i1039" o:spt="75" type="#_x0000_t75" style="height:176.8pt;width:302.8pt;" o:ole="t" filled="f" o:preferrelative="f" stroked="f" coordsize="21600,21600">
            <v:path/>
            <v:fill on="f" alignshape="1" focussize="0,0"/>
            <v:stroke on="f"/>
            <v:imagedata r:id="rId79" grayscale="f" bilevel="f" o:title=""/>
            <o:lock v:ext="edit" aspectratio="f"/>
            <w10:wrap type="none"/>
            <w10:anchorlock/>
          </v:shape>
          <o:OLEObject Type="Embed" ProgID="MSGraph.Chart.8" ShapeID="_x0000_i1039" DrawAspect="Content" ObjectID="_1468075740" r:id="rId78">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-2</w:t>
      </w:r>
      <w:r>
        <w:rPr>
          <w:rStyle w:val="19"/>
          <w:rFonts w:hint="eastAsia" w:ascii="华文中宋" w:hAnsi="华文中宋" w:eastAsia="华文中宋"/>
          <w:highlight w:val="none"/>
          <w:lang w:val="en-US" w:eastAsia="zh-CN"/>
        </w:rPr>
        <w:t xml:space="preserve">6 </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话剧的观众年龄构成</w:t>
      </w:r>
    </w:p>
    <w:p>
      <w:pPr>
        <w:jc w:val="center"/>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40" o:spt="75" type="#_x0000_t75" style="height:176.8pt;width:302.8pt;" o:ole="t" filled="f" o:preferrelative="f" stroked="f" coordsize="21600,21600">
            <v:path/>
            <v:fill on="f" alignshape="1" focussize="0,0"/>
            <v:stroke on="f"/>
            <v:imagedata r:id="rId81" grayscale="f" bilevel="f" o:title=""/>
            <o:lock v:ext="edit" aspectratio="f"/>
            <w10:wrap type="none"/>
            <w10:anchorlock/>
          </v:shape>
          <o:OLEObject Type="Embed" ProgID="MSGraph.Chart.8" ShapeID="_x0000_i1040" DrawAspect="Content" ObjectID="_1468075741" r:id="rId80">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-2</w:t>
      </w:r>
      <w:r>
        <w:rPr>
          <w:rStyle w:val="19"/>
          <w:rFonts w:hint="eastAsia" w:ascii="华文中宋" w:hAnsi="华文中宋" w:eastAsia="华文中宋"/>
          <w:highlight w:val="none"/>
          <w:lang w:val="en-US" w:eastAsia="zh-CN"/>
        </w:rPr>
        <w:t xml:space="preserve">7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话剧的观众学历构成</w:t>
      </w:r>
    </w:p>
    <w:p>
      <w:pPr>
        <w:pStyle w:val="18"/>
        <w:spacing w:after="156" w:afterLines="50"/>
        <w:ind w:left="419" w:hanging="62"/>
        <w:jc w:val="center"/>
        <w:rPr>
          <w:rStyle w:val="19"/>
          <w:rFonts w:hint="eastAsia" w:ascii="华文中宋" w:hAnsi="华文中宋" w:eastAsia="华文中宋"/>
          <w:highlight w:val="none"/>
        </w:rPr>
      </w:pPr>
    </w:p>
    <w:p>
      <w:pPr>
        <w:pStyle w:val="18"/>
        <w:spacing w:after="156" w:afterLines="50"/>
        <w:ind w:left="419" w:hanging="62"/>
        <w:jc w:val="center"/>
        <w:rPr>
          <w:rStyle w:val="19"/>
          <w:rFonts w:hint="eastAsia" w:ascii="华文中宋" w:hAnsi="华文中宋" w:eastAsia="华文中宋"/>
          <w:highlight w:val="none"/>
        </w:rPr>
      </w:pPr>
    </w:p>
    <w:p>
      <w:pPr>
        <w:pStyle w:val="18"/>
        <w:spacing w:after="156" w:afterLines="50"/>
        <w:ind w:left="419" w:hanging="62"/>
        <w:jc w:val="center"/>
        <w:rPr>
          <w:rStyle w:val="19"/>
          <w:rFonts w:hint="eastAsia" w:ascii="华文中宋" w:hAnsi="华文中宋" w:eastAsia="华文中宋"/>
          <w:highlight w:val="none"/>
        </w:rPr>
      </w:pPr>
    </w:p>
    <w:p>
      <w:pPr>
        <w:jc w:val="center"/>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41" o:spt="75" type="#_x0000_t75" style="height:176.8pt;width:302.8pt;" o:ole="t" filled="f" o:preferrelative="f" stroked="f" coordsize="21600,21600">
            <v:path/>
            <v:fill on="f" alignshape="1" focussize="0,0"/>
            <v:stroke on="f"/>
            <v:imagedata r:id="rId83" grayscale="f" bilevel="f" o:title=""/>
            <o:lock v:ext="edit" aspectratio="f"/>
            <w10:wrap type="none"/>
            <w10:anchorlock/>
          </v:shape>
          <o:OLEObject Type="Embed" ProgID="MSGraph.Chart.8" ShapeID="_x0000_i1041" DrawAspect="Content" ObjectID="_1468075742" r:id="rId82">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-2</w:t>
      </w:r>
      <w:r>
        <w:rPr>
          <w:rStyle w:val="19"/>
          <w:rFonts w:hint="eastAsia" w:ascii="华文中宋" w:hAnsi="华文中宋" w:eastAsia="华文中宋"/>
          <w:highlight w:val="none"/>
          <w:lang w:val="en-US" w:eastAsia="zh-CN"/>
        </w:rPr>
        <w:t xml:space="preserve">8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话剧的观众收入构成</w:t>
      </w:r>
    </w:p>
    <w:p>
      <w:pPr>
        <w:jc w:val="center"/>
        <w:rPr>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67" w:name="_Toc245558678"/>
      <w:r>
        <w:rPr>
          <w:rFonts w:hint="eastAsia" w:ascii="仿宋_GB2312" w:hAnsi="仿宋_GB2312" w:eastAsia="仿宋_GB2312" w:cs="仿宋_GB2312"/>
          <w:b/>
          <w:bCs/>
          <w:sz w:val="32"/>
          <w:szCs w:val="32"/>
          <w:highlight w:val="none"/>
        </w:rPr>
        <w:t>3．儿童剧的观众特征分析</w:t>
      </w:r>
      <w:bookmarkEnd w:id="67"/>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bCs/>
          <w:sz w:val="32"/>
          <w:szCs w:val="32"/>
          <w:highlight w:val="none"/>
          <w:lang w:val="en-US" w:eastAsia="zh-CN"/>
        </w:rPr>
        <w:t>家长</w:t>
      </w:r>
      <w:r>
        <w:rPr>
          <w:rFonts w:hint="eastAsia" w:ascii="仿宋_GB2312" w:hAnsi="仿宋_GB2312" w:eastAsia="仿宋_GB2312" w:cs="仿宋_GB2312"/>
          <w:b/>
          <w:bCs/>
          <w:sz w:val="32"/>
          <w:szCs w:val="32"/>
          <w:highlight w:val="none"/>
        </w:rPr>
        <w:t>带孩子观看演出的比例较高。</w:t>
      </w:r>
      <w:r>
        <w:rPr>
          <w:rFonts w:hint="eastAsia" w:ascii="仿宋_GB2312" w:hAnsi="仿宋_GB2312" w:eastAsia="仿宋_GB2312" w:cs="仿宋_GB2312"/>
          <w:b w:val="0"/>
          <w:bCs w:val="0"/>
          <w:sz w:val="32"/>
          <w:szCs w:val="32"/>
          <w:highlight w:val="none"/>
        </w:rPr>
        <w:t>同样，儿童剧的观众也以</w:t>
      </w:r>
      <w:r>
        <w:rPr>
          <w:rFonts w:hint="eastAsia" w:ascii="仿宋_GB2312" w:hAnsi="仿宋_GB2312" w:eastAsia="仿宋_GB2312" w:cs="仿宋_GB2312"/>
          <w:b w:val="0"/>
          <w:bCs w:val="0"/>
          <w:sz w:val="32"/>
          <w:szCs w:val="32"/>
          <w:highlight w:val="none"/>
          <w:lang w:val="en-US" w:eastAsia="zh-CN"/>
        </w:rPr>
        <w:t>家庭</w:t>
      </w:r>
      <w:r>
        <w:rPr>
          <w:rFonts w:hint="eastAsia" w:ascii="仿宋_GB2312" w:hAnsi="仿宋_GB2312" w:eastAsia="仿宋_GB2312" w:cs="仿宋_GB2312"/>
          <w:b w:val="0"/>
          <w:bCs w:val="0"/>
          <w:sz w:val="32"/>
          <w:szCs w:val="32"/>
          <w:highlight w:val="none"/>
        </w:rPr>
        <w:t>为主，</w:t>
      </w:r>
      <w:r>
        <w:rPr>
          <w:rFonts w:hint="eastAsia" w:ascii="仿宋_GB2312" w:hAnsi="仿宋_GB2312" w:eastAsia="仿宋_GB2312" w:cs="仿宋_GB2312"/>
          <w:b w:val="0"/>
          <w:bCs w:val="0"/>
          <w:sz w:val="32"/>
          <w:szCs w:val="32"/>
          <w:highlight w:val="none"/>
          <w:lang w:val="en-US" w:eastAsia="zh-CN"/>
        </w:rPr>
        <w:t>家长带孩子的模式</w:t>
      </w:r>
      <w:r>
        <w:rPr>
          <w:rFonts w:hint="eastAsia" w:ascii="仿宋_GB2312" w:hAnsi="仿宋_GB2312" w:eastAsia="仿宋_GB2312" w:cs="仿宋_GB2312"/>
          <w:b w:val="0"/>
          <w:bCs w:val="0"/>
          <w:sz w:val="32"/>
          <w:szCs w:val="32"/>
          <w:highlight w:val="none"/>
        </w:rPr>
        <w:t>占据了69.4</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31-40岁的中年父母占绝大部分。</w:t>
      </w:r>
      <w:r>
        <w:rPr>
          <w:rFonts w:hint="eastAsia" w:ascii="仿宋_GB2312" w:hAnsi="仿宋_GB2312" w:eastAsia="仿宋_GB2312" w:cs="仿宋_GB2312"/>
          <w:b w:val="0"/>
          <w:bCs w:val="0"/>
          <w:sz w:val="32"/>
          <w:szCs w:val="32"/>
          <w:highlight w:val="none"/>
        </w:rPr>
        <w:t>从被调查者的年龄可以看出，31-40岁的父母的比例最大，占被调查者总数的73.5</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%，其次是20-30岁之间的观众群，占总数的24.5</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大多数父母学历较高。</w:t>
      </w:r>
      <w:r>
        <w:rPr>
          <w:rFonts w:hint="eastAsia" w:ascii="仿宋_GB2312" w:hAnsi="仿宋_GB2312" w:eastAsia="仿宋_GB2312" w:cs="仿宋_GB2312"/>
          <w:b w:val="0"/>
          <w:bCs w:val="0"/>
          <w:sz w:val="32"/>
          <w:szCs w:val="32"/>
          <w:highlight w:val="none"/>
        </w:rPr>
        <w:t>其中本科学历占总数的46.9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%，硕士及以上占28.6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%，高中或中专及以下只占2.0%。</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中、高收入占据主体。</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在2000-3999元、4000-5999元的被调查者各占30.6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%的比例。</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6000元以上的被调查者占据31.2</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jc w:val="center"/>
        <w:rPr>
          <w:rFonts w:hint="eastAsia" w:ascii="华文中宋" w:hAnsi="华文中宋" w:eastAsia="华文中宋"/>
          <w:highlight w:val="none"/>
        </w:rPr>
      </w:pPr>
      <w:r>
        <w:rPr>
          <w:rFonts w:ascii="华文中宋" w:hAnsi="华文中宋" w:eastAsia="华文中宋"/>
          <w:highlight w:val="none"/>
        </w:rPr>
        <w:object>
          <v:shape id="_x0000_i1042" o:spt="75" type="#_x0000_t75" style="height:176.8pt;width:302.8pt;" o:ole="t" filled="f" o:preferrelative="f" stroked="f" coordsize="21600,21600">
            <v:path/>
            <v:fill on="f" alignshape="1" focussize="0,0"/>
            <v:stroke on="f"/>
            <v:imagedata r:id="rId85" grayscale="f" bilevel="f" o:title=""/>
            <o:lock v:ext="edit" aspectratio="f"/>
            <w10:wrap type="none"/>
            <w10:anchorlock/>
          </v:shape>
          <o:OLEObject Type="Embed" ProgID="MSGraph.Chart.8" ShapeID="_x0000_i1042" DrawAspect="Content" ObjectID="_1468075743" r:id="rId84">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 xml:space="preserve">29 </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儿童剧的观众性别构成</w:t>
      </w:r>
    </w:p>
    <w:p>
      <w:pPr>
        <w:jc w:val="center"/>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43" o:spt="75" type="#_x0000_t75" style="height:176.8pt;width:302.8pt;" o:ole="t" filled="f" o:preferrelative="f" stroked="f" coordsize="21600,21600">
            <v:path/>
            <v:fill on="f" alignshape="1" focussize="0,0"/>
            <v:stroke on="f"/>
            <v:imagedata r:id="rId87" grayscale="f" bilevel="f" o:title=""/>
            <o:lock v:ext="edit" aspectratio="f"/>
            <w10:wrap type="none"/>
            <w10:anchorlock/>
          </v:shape>
          <o:OLEObject Type="Embed" ProgID="MSGraph.Chart.8" ShapeID="_x0000_i1043" DrawAspect="Content" ObjectID="_1468075744" r:id="rId86">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-3</w:t>
      </w:r>
      <w:r>
        <w:rPr>
          <w:rStyle w:val="19"/>
          <w:rFonts w:hint="eastAsia" w:ascii="华文中宋" w:hAnsi="华文中宋" w:eastAsia="华文中宋"/>
          <w:highlight w:val="none"/>
          <w:lang w:val="en-US" w:eastAsia="zh-CN"/>
        </w:rPr>
        <w:t xml:space="preserve">0 </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儿童剧的观众年龄构成</w:t>
      </w:r>
    </w:p>
    <w:p>
      <w:pPr>
        <w:jc w:val="center"/>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44" o:spt="75" type="#_x0000_t75" style="height:176.8pt;width:302.8pt;" o:ole="t" filled="f" o:preferrelative="f" stroked="f" coordsize="21600,21600">
            <v:path/>
            <v:fill on="f" alignshape="1" focussize="0,0"/>
            <v:stroke on="f"/>
            <v:imagedata r:id="rId89" grayscale="f" bilevel="f" o:title=""/>
            <o:lock v:ext="edit" aspectratio="f"/>
            <w10:wrap type="none"/>
            <w10:anchorlock/>
          </v:shape>
          <o:OLEObject Type="Embed" ProgID="MSGraph.Chart.8" ShapeID="_x0000_i1044" DrawAspect="Content" ObjectID="_1468075745" r:id="rId88">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-3</w:t>
      </w:r>
      <w:r>
        <w:rPr>
          <w:rStyle w:val="19"/>
          <w:rFonts w:hint="eastAsia" w:ascii="华文中宋" w:hAnsi="华文中宋" w:eastAsia="华文中宋"/>
          <w:highlight w:val="none"/>
          <w:lang w:val="en-US" w:eastAsia="zh-CN"/>
        </w:rPr>
        <w:t xml:space="preserve">1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儿童剧的观众收入构成</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68" w:name="_Toc245558679"/>
      <w:r>
        <w:rPr>
          <w:rFonts w:hint="eastAsia" w:ascii="仿宋_GB2312" w:hAnsi="仿宋_GB2312" w:eastAsia="仿宋_GB2312" w:cs="仿宋_GB2312"/>
          <w:b/>
          <w:bCs/>
          <w:sz w:val="32"/>
          <w:szCs w:val="32"/>
          <w:highlight w:val="none"/>
        </w:rPr>
        <w:t>4．</w:t>
      </w:r>
      <w:r>
        <w:rPr>
          <w:rFonts w:hint="eastAsia" w:ascii="仿宋_GB2312" w:hAnsi="仿宋_GB2312" w:eastAsia="仿宋_GB2312" w:cs="仿宋_GB2312"/>
          <w:b/>
          <w:bCs/>
          <w:sz w:val="32"/>
          <w:szCs w:val="32"/>
          <w:highlight w:val="none"/>
          <w:lang w:val="en-US" w:eastAsia="zh-CN"/>
        </w:rPr>
        <w:t>川</w:t>
      </w:r>
      <w:r>
        <w:rPr>
          <w:rFonts w:hint="eastAsia" w:ascii="仿宋_GB2312" w:hAnsi="仿宋_GB2312" w:eastAsia="仿宋_GB2312" w:cs="仿宋_GB2312"/>
          <w:b/>
          <w:bCs/>
          <w:sz w:val="32"/>
          <w:szCs w:val="32"/>
          <w:highlight w:val="none"/>
        </w:rPr>
        <w:t>剧的观众特征分析</w:t>
      </w:r>
      <w:bookmarkEnd w:id="68"/>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男性是</w:t>
      </w:r>
      <w:r>
        <w:rPr>
          <w:rFonts w:hint="eastAsia" w:ascii="仿宋_GB2312" w:hAnsi="仿宋_GB2312" w:eastAsia="仿宋_GB2312" w:cs="仿宋_GB2312"/>
          <w:b/>
          <w:bCs/>
          <w:sz w:val="32"/>
          <w:szCs w:val="32"/>
          <w:highlight w:val="none"/>
          <w:lang w:val="en-US" w:eastAsia="zh-CN"/>
        </w:rPr>
        <w:t>川剧</w:t>
      </w:r>
      <w:r>
        <w:rPr>
          <w:rFonts w:hint="eastAsia" w:ascii="仿宋_GB2312" w:hAnsi="仿宋_GB2312" w:eastAsia="仿宋_GB2312" w:cs="仿宋_GB2312"/>
          <w:b/>
          <w:bCs/>
          <w:sz w:val="32"/>
          <w:szCs w:val="32"/>
          <w:highlight w:val="none"/>
        </w:rPr>
        <w:t>观众的主体。</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市观看</w:t>
      </w:r>
      <w:r>
        <w:rPr>
          <w:rFonts w:hint="eastAsia" w:ascii="仿宋_GB2312" w:hAnsi="仿宋_GB2312" w:eastAsia="仿宋_GB2312" w:cs="仿宋_GB2312"/>
          <w:b w:val="0"/>
          <w:bCs w:val="0"/>
          <w:sz w:val="32"/>
          <w:szCs w:val="32"/>
          <w:highlight w:val="none"/>
          <w:lang w:eastAsia="zh-CN"/>
        </w:rPr>
        <w:t>川</w:t>
      </w:r>
      <w:r>
        <w:rPr>
          <w:rFonts w:hint="eastAsia" w:ascii="仿宋_GB2312" w:hAnsi="仿宋_GB2312" w:eastAsia="仿宋_GB2312" w:cs="仿宋_GB2312"/>
          <w:b w:val="0"/>
          <w:bCs w:val="0"/>
          <w:sz w:val="32"/>
          <w:szCs w:val="32"/>
          <w:highlight w:val="none"/>
        </w:rPr>
        <w:t>剧的观众中，男性观众比例高于女性，占总数的60.0%，这一比例与音乐会、话剧、儿童剧的观众性别构成呈相反的特点。</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lang w:val="en-US" w:eastAsia="zh-CN"/>
        </w:rPr>
        <w:t>中</w:t>
      </w:r>
      <w:r>
        <w:rPr>
          <w:rFonts w:hint="eastAsia" w:ascii="仿宋_GB2312" w:hAnsi="仿宋_GB2312" w:eastAsia="仿宋_GB2312" w:cs="仿宋_GB2312"/>
          <w:b/>
          <w:bCs/>
          <w:sz w:val="32"/>
          <w:szCs w:val="32"/>
          <w:highlight w:val="none"/>
        </w:rPr>
        <w:t>老年观众比例较大</w:t>
      </w:r>
      <w:r>
        <w:rPr>
          <w:rFonts w:hint="eastAsia" w:ascii="仿宋_GB2312" w:hAnsi="仿宋_GB2312" w:eastAsia="仿宋_GB2312" w:cs="仿宋_GB2312"/>
          <w:b w:val="0"/>
          <w:bCs w:val="0"/>
          <w:sz w:val="32"/>
          <w:szCs w:val="32"/>
          <w:highlight w:val="none"/>
        </w:rPr>
        <w:t>。在被调查者中，60岁以上的观众占46.9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%，51-60岁的观众占28.6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%，41-50岁的占10.2</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%。只有不到10%的观众是20-30岁之间的年轻人。可见</w:t>
      </w:r>
      <w:r>
        <w:rPr>
          <w:rFonts w:hint="eastAsia" w:ascii="仿宋_GB2312" w:hAnsi="仿宋_GB2312" w:eastAsia="仿宋_GB2312" w:cs="仿宋_GB2312"/>
          <w:b w:val="0"/>
          <w:bCs w:val="0"/>
          <w:sz w:val="32"/>
          <w:szCs w:val="32"/>
          <w:highlight w:val="none"/>
          <w:lang w:val="en-US" w:eastAsia="zh-CN"/>
        </w:rPr>
        <w:t>川剧</w:t>
      </w:r>
      <w:r>
        <w:rPr>
          <w:rFonts w:hint="eastAsia" w:ascii="仿宋_GB2312" w:hAnsi="仿宋_GB2312" w:eastAsia="仿宋_GB2312" w:cs="仿宋_GB2312"/>
          <w:b w:val="0"/>
          <w:bCs w:val="0"/>
          <w:sz w:val="32"/>
          <w:szCs w:val="32"/>
          <w:highlight w:val="none"/>
        </w:rPr>
        <w:t>的观众群体仍然集中在中、老年人当中。</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离退休人员和机关干部是</w:t>
      </w:r>
      <w:r>
        <w:rPr>
          <w:rFonts w:hint="eastAsia" w:ascii="仿宋_GB2312" w:hAnsi="仿宋_GB2312" w:eastAsia="仿宋_GB2312" w:cs="仿宋_GB2312"/>
          <w:b/>
          <w:bCs/>
          <w:sz w:val="32"/>
          <w:szCs w:val="32"/>
          <w:highlight w:val="none"/>
          <w:lang w:val="en-US" w:eastAsia="zh-CN"/>
        </w:rPr>
        <w:t>川剧</w:t>
      </w:r>
      <w:r>
        <w:rPr>
          <w:rFonts w:hint="eastAsia" w:ascii="仿宋_GB2312" w:hAnsi="仿宋_GB2312" w:eastAsia="仿宋_GB2312" w:cs="仿宋_GB2312"/>
          <w:b/>
          <w:bCs/>
          <w:sz w:val="32"/>
          <w:szCs w:val="32"/>
          <w:highlight w:val="none"/>
        </w:rPr>
        <w:t>的主要观众群体。</w:t>
      </w:r>
      <w:r>
        <w:rPr>
          <w:rFonts w:hint="eastAsia" w:ascii="仿宋_GB2312" w:hAnsi="仿宋_GB2312" w:eastAsia="仿宋_GB2312" w:cs="仿宋_GB2312"/>
          <w:b w:val="0"/>
          <w:bCs w:val="0"/>
          <w:sz w:val="32"/>
          <w:szCs w:val="32"/>
          <w:highlight w:val="none"/>
        </w:rPr>
        <w:t>从职业构成来看，待业/下岗/离退休观众占总数的30.0%，政府机关/事业单位管理人员占22.0%，其余依次为教师、企业单位职员、学生、企业管理人员、个体经营者等。</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中低收入者占多数。</w:t>
      </w:r>
      <w:r>
        <w:rPr>
          <w:rFonts w:hint="eastAsia" w:ascii="仿宋_GB2312" w:hAnsi="仿宋_GB2312" w:eastAsia="仿宋_GB2312" w:cs="仿宋_GB2312"/>
          <w:b w:val="0"/>
          <w:bCs w:val="0"/>
          <w:sz w:val="32"/>
          <w:szCs w:val="32"/>
          <w:highlight w:val="none"/>
        </w:rPr>
        <w:t>从收入构成来看，</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在2000元以下和2000-3999元的观众是最大的观众群，各占41.3</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在6000元以上的观众只占到4.4</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jc w:val="center"/>
        <w:rPr>
          <w:rFonts w:hint="eastAsia" w:ascii="华文中宋" w:hAnsi="华文中宋" w:eastAsia="华文中宋"/>
          <w:highlight w:val="none"/>
        </w:rPr>
      </w:pPr>
      <w:r>
        <w:rPr>
          <w:rFonts w:ascii="华文中宋" w:hAnsi="华文中宋" w:eastAsia="华文中宋"/>
          <w:highlight w:val="none"/>
        </w:rPr>
        <w:object>
          <v:shape id="_x0000_i1045" o:spt="75" type="#_x0000_t75" style="height:176.8pt;width:302.8pt;" o:ole="t" filled="f" o:preferrelative="f" stroked="f" coordsize="21600,21600">
            <v:path/>
            <v:fill on="f" alignshape="1" focussize="0,0"/>
            <v:stroke on="f"/>
            <v:imagedata r:id="rId91" grayscale="f" bilevel="f" o:title=""/>
            <o:lock v:ext="edit" aspectratio="f"/>
            <w10:wrap type="none"/>
            <w10:anchorlock/>
          </v:shape>
          <o:OLEObject Type="Embed" ProgID="MSGraph.Chart.8" ShapeID="_x0000_i1045" DrawAspect="Content" ObjectID="_1468075746" r:id="rId90">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-3</w:t>
      </w:r>
      <w:r>
        <w:rPr>
          <w:rStyle w:val="19"/>
          <w:rFonts w:hint="eastAsia" w:ascii="华文中宋" w:hAnsi="华文中宋" w:eastAsia="华文中宋"/>
          <w:highlight w:val="none"/>
          <w:lang w:val="en-US" w:eastAsia="zh-CN"/>
        </w:rPr>
        <w:t xml:space="preserve">2 </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lang w:val="en-US" w:eastAsia="zh-CN"/>
        </w:rPr>
        <w:t>川剧</w:t>
      </w:r>
      <w:r>
        <w:rPr>
          <w:rStyle w:val="19"/>
          <w:rFonts w:hint="eastAsia" w:ascii="华文中宋" w:hAnsi="华文中宋" w:eastAsia="华文中宋"/>
          <w:highlight w:val="none"/>
        </w:rPr>
        <w:t>的观众性别构成</w:t>
      </w:r>
    </w:p>
    <w:p>
      <w:pPr>
        <w:jc w:val="center"/>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46" o:spt="75" type="#_x0000_t75" style="height:176.8pt;width:302.8pt;" o:ole="t" filled="f" o:preferrelative="f" stroked="f" coordsize="21600,21600">
            <v:path/>
            <v:fill on="f" alignshape="1" focussize="0,0"/>
            <v:stroke on="f"/>
            <v:imagedata r:id="rId93" grayscale="f" bilevel="f" o:title=""/>
            <o:lock v:ext="edit" aspectratio="f"/>
            <w10:wrap type="none"/>
            <w10:anchorlock/>
          </v:shape>
          <o:OLEObject Type="Embed" ProgID="MSGraph.Chart.8" ShapeID="_x0000_i1046" DrawAspect="Content" ObjectID="_1468075747" r:id="rId92">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-3</w:t>
      </w:r>
      <w:r>
        <w:rPr>
          <w:rStyle w:val="19"/>
          <w:rFonts w:hint="eastAsia" w:ascii="华文中宋" w:hAnsi="华文中宋" w:eastAsia="华文中宋"/>
          <w:highlight w:val="none"/>
          <w:lang w:val="en-US" w:eastAsia="zh-CN"/>
        </w:rPr>
        <w:t xml:space="preserve">3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lang w:val="en-US" w:eastAsia="zh-CN"/>
        </w:rPr>
        <w:t>川剧</w:t>
      </w:r>
      <w:r>
        <w:rPr>
          <w:rStyle w:val="19"/>
          <w:rFonts w:hint="eastAsia" w:ascii="华文中宋" w:hAnsi="华文中宋" w:eastAsia="华文中宋"/>
          <w:highlight w:val="none"/>
        </w:rPr>
        <w:t>的观众年龄构成</w:t>
      </w:r>
    </w:p>
    <w:p>
      <w:pPr>
        <w:pStyle w:val="18"/>
        <w:spacing w:after="156" w:afterLines="50"/>
        <w:ind w:left="419" w:hanging="62"/>
        <w:jc w:val="center"/>
        <w:rPr>
          <w:rStyle w:val="19"/>
          <w:rFonts w:hint="eastAsia" w:ascii="华文中宋" w:hAnsi="华文中宋" w:eastAsia="华文中宋"/>
          <w:highlight w:val="none"/>
        </w:rPr>
      </w:pPr>
    </w:p>
    <w:p>
      <w:pPr>
        <w:jc w:val="center"/>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47" o:spt="75" type="#_x0000_t75" style="height:198.8pt;width:283.6pt;" o:ole="t" filled="f" o:preferrelative="t" stroked="f" coordsize="21600,21600">
            <v:path/>
            <v:fill on="f" alignshape="1" focussize="0,0"/>
            <v:stroke on="f"/>
            <v:imagedata r:id="rId95" grayscale="f" bilevel="f" o:title=""/>
            <o:lock v:ext="edit" aspectratio="t"/>
            <w10:wrap type="none"/>
            <w10:anchorlock/>
          </v:shape>
          <o:OLEObject Type="Embed" ProgID="MSGraph.Chart.8" ShapeID="_x0000_i1047" DrawAspect="Content" ObjectID="_1468075748" r:id="rId94">
            <o:LockedField>false</o:LockedField>
          </o:OLEObject>
        </w:object>
      </w:r>
    </w:p>
    <w:p>
      <w:pPr>
        <w:pStyle w:val="18"/>
        <w:spacing w:after="156" w:afterLines="50"/>
        <w:ind w:left="419" w:hanging="62"/>
        <w:jc w:val="center"/>
        <w:rPr>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-3</w:t>
      </w:r>
      <w:r>
        <w:rPr>
          <w:rStyle w:val="19"/>
          <w:rFonts w:hint="eastAsia" w:ascii="华文中宋" w:hAnsi="华文中宋" w:eastAsia="华文中宋"/>
          <w:highlight w:val="none"/>
          <w:lang w:val="en-US" w:eastAsia="zh-CN"/>
        </w:rPr>
        <w:t xml:space="preserve">4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lang w:val="en-US" w:eastAsia="zh-CN"/>
        </w:rPr>
        <w:t>川剧</w:t>
      </w:r>
      <w:r>
        <w:rPr>
          <w:rStyle w:val="19"/>
          <w:rFonts w:hint="eastAsia" w:ascii="华文中宋" w:hAnsi="华文中宋" w:eastAsia="华文中宋"/>
          <w:highlight w:val="none"/>
        </w:rPr>
        <w:t>的观众职业构成</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69" w:name="_Toc245558681"/>
      <w:r>
        <w:rPr>
          <w:rFonts w:hint="eastAsia" w:ascii="仿宋_GB2312" w:hAnsi="仿宋_GB2312" w:eastAsia="仿宋_GB2312" w:cs="仿宋_GB2312"/>
          <w:b/>
          <w:bCs/>
          <w:sz w:val="32"/>
          <w:szCs w:val="32"/>
          <w:highlight w:val="none"/>
          <w:lang w:val="en-US" w:eastAsia="zh-CN"/>
        </w:rPr>
        <w:t>5</w:t>
      </w:r>
      <w:r>
        <w:rPr>
          <w:rFonts w:hint="eastAsia" w:ascii="仿宋_GB2312" w:hAnsi="仿宋_GB2312" w:eastAsia="仿宋_GB2312" w:cs="仿宋_GB2312"/>
          <w:b/>
          <w:bCs/>
          <w:sz w:val="32"/>
          <w:szCs w:val="32"/>
          <w:highlight w:val="none"/>
        </w:rPr>
        <w:t>．歌舞的观众特征分析</w:t>
      </w:r>
      <w:bookmarkEnd w:id="69"/>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绝大部分的观众为女性观众。</w:t>
      </w:r>
      <w:r>
        <w:rPr>
          <w:rFonts w:hint="eastAsia" w:ascii="仿宋_GB2312" w:hAnsi="仿宋_GB2312" w:eastAsia="仿宋_GB2312" w:cs="仿宋_GB2312"/>
          <w:b w:val="0"/>
          <w:bCs w:val="0"/>
          <w:sz w:val="32"/>
          <w:szCs w:val="32"/>
          <w:highlight w:val="none"/>
        </w:rPr>
        <w:t>在被调查者中，女性观众占据了72.3</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%的比例，而男性只有27.7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%。由此可以推断，歌舞更受女性观众欢迎。</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20-40岁的人是观众的主要群体</w:t>
      </w:r>
      <w:r>
        <w:rPr>
          <w:rFonts w:hint="eastAsia" w:ascii="仿宋_GB2312" w:hAnsi="仿宋_GB2312" w:eastAsia="仿宋_GB2312" w:cs="仿宋_GB2312"/>
          <w:b w:val="0"/>
          <w:bCs w:val="0"/>
          <w:sz w:val="32"/>
          <w:szCs w:val="32"/>
          <w:highlight w:val="none"/>
        </w:rPr>
        <w:t>。数据显示，在被调查者中，20-30岁和31-40岁各占总数的33.9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%，其余的依次为：51-60岁（15.4</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%）、41-50岁（13.9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%）、60岁以上（3.1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大部分人拥有本科以上学历。</w:t>
      </w:r>
      <w:r>
        <w:rPr>
          <w:rFonts w:hint="eastAsia" w:ascii="仿宋_GB2312" w:hAnsi="仿宋_GB2312" w:eastAsia="仿宋_GB2312" w:cs="仿宋_GB2312"/>
          <w:b w:val="0"/>
          <w:bCs w:val="0"/>
          <w:sz w:val="32"/>
          <w:szCs w:val="32"/>
          <w:highlight w:val="none"/>
        </w:rPr>
        <w:t>本科学历的观众占总数的60.0%，硕士及以上占18.5</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bCs/>
          <w:sz w:val="32"/>
          <w:szCs w:val="32"/>
          <w:highlight w:val="none"/>
        </w:rPr>
        <w:t>高收入者占据较大比例。</w:t>
      </w:r>
      <w:r>
        <w:rPr>
          <w:rFonts w:hint="eastAsia" w:ascii="仿宋_GB2312" w:hAnsi="仿宋_GB2312" w:eastAsia="仿宋_GB2312" w:cs="仿宋_GB2312"/>
          <w:b w:val="0"/>
          <w:bCs w:val="0"/>
          <w:sz w:val="32"/>
          <w:szCs w:val="32"/>
          <w:highlight w:val="none"/>
        </w:rPr>
        <w:t>在被调查者中，</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在6000元以上观众占到总数的40</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每月可支配收入</w:t>
      </w:r>
      <w:r>
        <w:rPr>
          <w:rFonts w:hint="eastAsia" w:ascii="仿宋_GB2312" w:hAnsi="仿宋_GB2312" w:eastAsia="仿宋_GB2312" w:cs="仿宋_GB2312"/>
          <w:b w:val="0"/>
          <w:bCs w:val="0"/>
          <w:sz w:val="32"/>
          <w:szCs w:val="32"/>
          <w:highlight w:val="none"/>
        </w:rPr>
        <w:t>在4000-5999元的占据了29.5</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rPr>
        <w:t>2000-3999元之间的占24.6</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p>
    <w:p>
      <w:pPr>
        <w:spacing w:after="156" w:afterLines="50"/>
        <w:ind w:firstLine="437"/>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48" o:spt="75" type="#_x0000_t75" style="height:176.8pt;width:302.8pt;" o:ole="t" filled="f" o:preferrelative="f" stroked="f" coordsize="21600,21600">
            <v:path/>
            <v:fill on="f" focussize="0,0"/>
            <v:stroke on="f"/>
            <v:imagedata r:id="rId97" o:title=""/>
            <o:lock v:ext="edit" aspectratio="f"/>
            <w10:wrap type="none"/>
            <w10:anchorlock/>
          </v:shape>
          <o:OLEObject Type="Embed" ProgID="MSGraph.Chart.8" ShapeID="_x0000_i1048" DrawAspect="Content" ObjectID="_1468075749" r:id="rId96">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 xml:space="preserve">35 </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歌舞的观众性别构成</w:t>
      </w:r>
    </w:p>
    <w:p>
      <w:pPr>
        <w:jc w:val="center"/>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49" o:spt="75" type="#_x0000_t75" style="height:176.8pt;width:302.8pt;" o:ole="t" filled="f" o:preferrelative="f" stroked="f" coordsize="21600,21600">
            <v:path/>
            <v:fill on="f" alignshape="1" focussize="0,0"/>
            <v:stroke on="f"/>
            <v:imagedata r:id="rId99" grayscale="f" bilevel="f" o:title=""/>
            <o:lock v:ext="edit" aspectratio="f"/>
            <w10:wrap type="none"/>
            <w10:anchorlock/>
          </v:shape>
          <o:OLEObject Type="Embed" ProgID="MSGraph.Chart.8" ShapeID="_x0000_i1049" DrawAspect="Content" ObjectID="_1468075750" r:id="rId98">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36</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歌舞的观众学历构成</w:t>
      </w:r>
    </w:p>
    <w:p>
      <w:pPr>
        <w:pStyle w:val="18"/>
        <w:spacing w:after="156" w:afterLines="50"/>
        <w:ind w:left="419" w:hanging="62"/>
        <w:jc w:val="center"/>
        <w:rPr>
          <w:rStyle w:val="19"/>
          <w:rFonts w:hint="eastAsia" w:ascii="华文中宋" w:hAnsi="华文中宋" w:eastAsia="华文中宋"/>
          <w:highlight w:val="none"/>
        </w:rPr>
      </w:pPr>
    </w:p>
    <w:p>
      <w:pPr>
        <w:pStyle w:val="18"/>
        <w:spacing w:after="156" w:afterLines="50"/>
        <w:ind w:left="419" w:hanging="62"/>
        <w:jc w:val="center"/>
        <w:rPr>
          <w:rStyle w:val="19"/>
          <w:rFonts w:hint="eastAsia" w:ascii="华文中宋" w:hAnsi="华文中宋" w:eastAsia="华文中宋"/>
          <w:highlight w:val="none"/>
        </w:rPr>
      </w:pPr>
    </w:p>
    <w:p>
      <w:pPr>
        <w:jc w:val="center"/>
        <w:rPr>
          <w:rFonts w:hint="eastAsia" w:ascii="华文中宋" w:hAnsi="华文中宋" w:eastAsia="华文中宋"/>
          <w:highlight w:val="none"/>
        </w:rPr>
      </w:pPr>
    </w:p>
    <w:p>
      <w:pPr>
        <w:jc w:val="center"/>
        <w:rPr>
          <w:rFonts w:hint="eastAsia" w:ascii="华文中宋" w:hAnsi="华文中宋" w:eastAsia="华文中宋"/>
          <w:highlight w:val="none"/>
        </w:rPr>
      </w:pPr>
      <w:r>
        <w:rPr>
          <w:rFonts w:ascii="华文中宋" w:hAnsi="华文中宋" w:eastAsia="华文中宋"/>
          <w:highlight w:val="none"/>
        </w:rPr>
        <w:object>
          <v:shape id="_x0000_i1050" o:spt="75" type="#_x0000_t75" style="height:176.8pt;width:302.8pt;" o:ole="t" filled="f" o:preferrelative="f" stroked="f" coordsize="21600,21600">
            <v:path/>
            <v:fill on="f" alignshape="1" focussize="0,0"/>
            <v:stroke on="f"/>
            <v:imagedata r:id="rId101" grayscale="f" bilevel="f" o:title=""/>
            <o:lock v:ext="edit" aspectratio="f"/>
            <w10:wrap type="none"/>
            <w10:anchorlock/>
          </v:shape>
          <o:OLEObject Type="Embed" ProgID="MSGraph.Chart.8" ShapeID="_x0000_i1050" DrawAspect="Content" ObjectID="_1468075751" r:id="rId100">
            <o:LockedField>false</o:LockedField>
          </o:OLEObject>
        </w:object>
      </w:r>
    </w:p>
    <w:p>
      <w:pPr>
        <w:pStyle w:val="18"/>
        <w:spacing w:after="156" w:afterLines="50"/>
        <w:ind w:left="419" w:hanging="62"/>
        <w:jc w:val="center"/>
        <w:rPr>
          <w:rFonts w:hint="eastAsia" w:ascii="华文中宋" w:hAnsi="华文中宋" w:eastAsia="华文中宋"/>
          <w:b/>
          <w:szCs w:val="21"/>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37</w:t>
      </w:r>
      <w:r>
        <w:rPr>
          <w:rStyle w:val="19"/>
          <w:rFonts w:hint="eastAsia" w:ascii="华文中宋" w:hAnsi="华文中宋" w:eastAsia="华文中宋"/>
          <w:highlight w:val="none"/>
        </w:rPr>
        <w:t xml:space="preserve"> </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歌舞的观众收入构成</w:t>
      </w: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黑体" w:hAnsi="黑体" w:eastAsia="黑体" w:cs="黑体"/>
          <w:b w:val="0"/>
          <w:bCs w:val="0"/>
          <w:sz w:val="32"/>
          <w:szCs w:val="32"/>
          <w:highlight w:val="none"/>
        </w:rPr>
      </w:pPr>
      <w:bookmarkStart w:id="70" w:name="_Toc245558683"/>
      <w:r>
        <w:rPr>
          <w:rFonts w:hint="eastAsia" w:ascii="黑体" w:hAnsi="黑体" w:cs="黑体"/>
          <w:b w:val="0"/>
          <w:bCs w:val="0"/>
          <w:sz w:val="32"/>
          <w:szCs w:val="32"/>
          <w:highlight w:val="none"/>
          <w:lang w:val="en-US" w:eastAsia="zh-CN"/>
        </w:rPr>
        <w:t>六</w:t>
      </w:r>
      <w:r>
        <w:rPr>
          <w:rFonts w:hint="eastAsia" w:ascii="黑体" w:hAnsi="黑体" w:eastAsia="黑体" w:cs="黑体"/>
          <w:b w:val="0"/>
          <w:bCs w:val="0"/>
          <w:sz w:val="32"/>
          <w:szCs w:val="32"/>
          <w:highlight w:val="none"/>
        </w:rPr>
        <w:t>、</w:t>
      </w:r>
      <w:r>
        <w:rPr>
          <w:rFonts w:hint="eastAsia" w:ascii="黑体" w:hAnsi="黑体" w:eastAsia="黑体" w:cs="黑体"/>
          <w:b w:val="0"/>
          <w:bCs w:val="0"/>
          <w:sz w:val="32"/>
          <w:szCs w:val="32"/>
          <w:highlight w:val="none"/>
          <w:lang w:eastAsia="zh-CN"/>
        </w:rPr>
        <w:t>四川省</w:t>
      </w:r>
      <w:r>
        <w:rPr>
          <w:rFonts w:hint="eastAsia" w:ascii="黑体" w:hAnsi="黑体" w:eastAsia="黑体" w:cs="黑体"/>
          <w:b w:val="0"/>
          <w:bCs w:val="0"/>
          <w:sz w:val="32"/>
          <w:szCs w:val="32"/>
          <w:highlight w:val="none"/>
        </w:rPr>
        <w:t>演出观众对演出市场的评价</w:t>
      </w:r>
      <w:bookmarkEnd w:id="70"/>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71" w:name="_Toc245558684"/>
      <w:r>
        <w:rPr>
          <w:rFonts w:hint="eastAsia" w:ascii="仿宋_GB2312" w:hAnsi="仿宋_GB2312" w:eastAsia="仿宋_GB2312" w:cs="仿宋_GB2312"/>
          <w:b/>
          <w:bCs/>
          <w:sz w:val="32"/>
          <w:szCs w:val="32"/>
          <w:highlight w:val="none"/>
        </w:rPr>
        <w:t>1．对</w:t>
      </w:r>
      <w:r>
        <w:rPr>
          <w:rFonts w:hint="eastAsia" w:ascii="仿宋_GB2312" w:hAnsi="仿宋_GB2312" w:eastAsia="仿宋_GB2312" w:cs="仿宋_GB2312"/>
          <w:b/>
          <w:bCs/>
          <w:sz w:val="32"/>
          <w:szCs w:val="32"/>
          <w:highlight w:val="none"/>
          <w:lang w:eastAsia="zh-CN"/>
        </w:rPr>
        <w:t>四川省</w:t>
      </w:r>
      <w:r>
        <w:rPr>
          <w:rFonts w:hint="eastAsia" w:ascii="仿宋_GB2312" w:hAnsi="仿宋_GB2312" w:eastAsia="仿宋_GB2312" w:cs="仿宋_GB2312"/>
          <w:b/>
          <w:bCs/>
          <w:sz w:val="32"/>
          <w:szCs w:val="32"/>
          <w:highlight w:val="none"/>
        </w:rPr>
        <w:t>演出活动的满意度：64.5</w:t>
      </w:r>
      <w:r>
        <w:rPr>
          <w:rFonts w:hint="eastAsia" w:ascii="仿宋_GB2312" w:hAnsi="仿宋_GB2312" w:eastAsia="仿宋_GB2312" w:cs="仿宋_GB2312"/>
          <w:b/>
          <w:bCs/>
          <w:sz w:val="32"/>
          <w:szCs w:val="32"/>
          <w:highlight w:val="none"/>
          <w:lang w:val="en-US" w:eastAsia="zh-CN"/>
        </w:rPr>
        <w:t>0</w:t>
      </w:r>
      <w:r>
        <w:rPr>
          <w:rFonts w:hint="eastAsia" w:ascii="仿宋_GB2312" w:hAnsi="仿宋_GB2312" w:eastAsia="仿宋_GB2312" w:cs="仿宋_GB2312"/>
          <w:b/>
          <w:bCs/>
          <w:sz w:val="32"/>
          <w:szCs w:val="32"/>
          <w:highlight w:val="none"/>
        </w:rPr>
        <w:t>%的观众对演出活动表示满意</w:t>
      </w:r>
      <w:bookmarkEnd w:id="71"/>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在对</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演出活动满意度的问题上，有4.7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%的观众表示对目前</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的演出活动非常满意，59.8</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%的观众比较满意。认为</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演出活动一般的观众占据了32.44%。只有3.2</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%的观众对目前的演出活动不是很满意。可以看出，观众对目前</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演出活动的满意度还是比较高的。</w:t>
      </w:r>
    </w:p>
    <w:p>
      <w:pPr>
        <w:jc w:val="center"/>
        <w:rPr>
          <w:rFonts w:hint="eastAsia" w:ascii="华文中宋" w:hAnsi="华文中宋" w:eastAsia="华文中宋"/>
          <w:highlight w:val="none"/>
        </w:rPr>
      </w:pPr>
      <w:r>
        <w:rPr>
          <w:rFonts w:ascii="华文中宋" w:hAnsi="华文中宋" w:eastAsia="华文中宋"/>
          <w:highlight w:val="none"/>
        </w:rPr>
        <w:object>
          <v:shape id="_x0000_i1051" o:spt="75" type="#_x0000_t75" style="height:176.8pt;width:302.8pt;" o:ole="t" filled="f" o:preferrelative="f" stroked="f" coordsize="21600,21600">
            <v:path/>
            <v:fill on="f" alignshape="1" focussize="0,0"/>
            <v:stroke on="f"/>
            <v:imagedata r:id="rId103" grayscale="f" bilevel="f" o:title=""/>
            <o:lock v:ext="edit" aspectratio="f"/>
            <w10:wrap type="none"/>
            <w10:anchorlock/>
          </v:shape>
          <o:OLEObject Type="Embed" ProgID="MSGraph.Chart.8" ShapeID="_x0000_i1051" DrawAspect="Content" ObjectID="_1468075752" r:id="rId102">
            <o:LockedField>false</o:LockedField>
          </o:OLEObject>
        </w:object>
      </w:r>
    </w:p>
    <w:p>
      <w:pPr>
        <w:pStyle w:val="18"/>
        <w:spacing w:after="156" w:afterLines="50"/>
        <w:ind w:left="419" w:hanging="62"/>
        <w:jc w:val="center"/>
        <w:rPr>
          <w:rFonts w:hint="eastAsia" w:ascii="华文中宋" w:hAnsi="华文中宋" w:eastAsia="华文中宋"/>
          <w:b/>
          <w:szCs w:val="21"/>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38</w:t>
      </w:r>
      <w:r>
        <w:rPr>
          <w:rStyle w:val="19"/>
          <w:rFonts w:hint="eastAsia" w:ascii="华文中宋" w:hAnsi="华文中宋" w:eastAsia="华文中宋"/>
          <w:highlight w:val="none"/>
        </w:rPr>
        <w:t xml:space="preserve"> 对目前</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的演出活动是否满意</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72" w:name="_Toc245558685"/>
      <w:r>
        <w:rPr>
          <w:rFonts w:hint="eastAsia" w:ascii="仿宋_GB2312" w:hAnsi="仿宋_GB2312" w:eastAsia="仿宋_GB2312" w:cs="仿宋_GB2312"/>
          <w:b/>
          <w:bCs/>
          <w:sz w:val="32"/>
          <w:szCs w:val="32"/>
          <w:highlight w:val="none"/>
        </w:rPr>
        <w:t>2．</w:t>
      </w:r>
      <w:r>
        <w:rPr>
          <w:rFonts w:hint="eastAsia" w:ascii="仿宋_GB2312" w:hAnsi="仿宋_GB2312" w:eastAsia="仿宋_GB2312" w:cs="仿宋_GB2312"/>
          <w:b/>
          <w:bCs/>
          <w:sz w:val="32"/>
          <w:szCs w:val="32"/>
          <w:highlight w:val="none"/>
          <w:lang w:eastAsia="zh-CN"/>
        </w:rPr>
        <w:t>四川省</w:t>
      </w:r>
      <w:r>
        <w:rPr>
          <w:rFonts w:hint="eastAsia" w:ascii="仿宋_GB2312" w:hAnsi="仿宋_GB2312" w:eastAsia="仿宋_GB2312" w:cs="仿宋_GB2312"/>
          <w:b/>
          <w:bCs/>
          <w:sz w:val="32"/>
          <w:szCs w:val="32"/>
          <w:highlight w:val="none"/>
        </w:rPr>
        <w:t>演出活动的问题：票价太高是最突出的问题</w:t>
      </w:r>
      <w:bookmarkEnd w:id="72"/>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在</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演出活动存在的问题上，演出票价太高是观众反映最为突出的问题，有63.</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%的观众认为</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演出活动票价太高。</w:t>
      </w:r>
    </w:p>
    <w:p>
      <w:pPr>
        <w:jc w:val="center"/>
        <w:rPr>
          <w:rFonts w:hint="eastAsia" w:ascii="华文中宋" w:hAnsi="华文中宋" w:eastAsia="华文中宋"/>
          <w:highlight w:val="none"/>
        </w:rPr>
      </w:pPr>
      <w:r>
        <w:rPr>
          <w:rFonts w:ascii="华文中宋" w:hAnsi="华文中宋" w:eastAsia="华文中宋"/>
          <w:highlight w:val="none"/>
        </w:rPr>
        <w:object>
          <v:shape id="_x0000_i1052" o:spt="75" type="#_x0000_t75" style="height:188.3pt;width:268.55pt;" o:ole="t" filled="f" o:preferrelative="t" stroked="f" coordsize="21600,21600">
            <v:path/>
            <v:fill on="f" alignshape="1" focussize="0,0"/>
            <v:stroke on="f"/>
            <v:imagedata r:id="rId105" grayscale="f" bilevel="f" o:title=""/>
            <o:lock v:ext="edit" aspectratio="t"/>
            <w10:wrap type="none"/>
            <w10:anchorlock/>
          </v:shape>
          <o:OLEObject Type="Embed" ProgID="MSGraph.Chart.8" ShapeID="_x0000_i1052" DrawAspect="Content" ObjectID="_1468075753" r:id="rId104">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w:t>
      </w:r>
      <w:r>
        <w:rPr>
          <w:rStyle w:val="19"/>
          <w:rFonts w:hint="eastAsia" w:ascii="华文中宋" w:hAnsi="华文中宋" w:eastAsia="华文中宋"/>
          <w:highlight w:val="none"/>
          <w:lang w:val="en-US" w:eastAsia="zh-CN"/>
        </w:rPr>
        <w:t>39</w:t>
      </w:r>
      <w:r>
        <w:rPr>
          <w:rStyle w:val="19"/>
          <w:rFonts w:hint="eastAsia" w:ascii="华文中宋" w:hAnsi="华文中宋" w:eastAsia="华文中宋"/>
          <w:highlight w:val="none"/>
        </w:rPr>
        <w:t>目前</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的演出活动存在的主要问题</w:t>
      </w:r>
    </w:p>
    <w:p>
      <w:pPr>
        <w:pStyle w:val="18"/>
        <w:spacing w:after="156" w:afterLines="50"/>
        <w:ind w:left="419" w:hanging="62"/>
        <w:jc w:val="both"/>
        <w:rPr>
          <w:rStyle w:val="19"/>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另有39.1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%的观众认为</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演出活动没有很好的宣传，是仅次于票价问题的第二大问题。其余依次是演出团体水平不高、演出场馆条件不好、</w:t>
      </w:r>
      <w:r>
        <w:rPr>
          <w:rFonts w:hint="eastAsia" w:ascii="仿宋_GB2312" w:hAnsi="仿宋_GB2312" w:eastAsia="仿宋_GB2312" w:cs="仿宋_GB2312"/>
          <w:b w:val="0"/>
          <w:bCs w:val="0"/>
          <w:sz w:val="32"/>
          <w:szCs w:val="32"/>
          <w:highlight w:val="none"/>
          <w:lang w:eastAsia="zh-CN"/>
        </w:rPr>
        <w:t>演出</w:t>
      </w:r>
      <w:r>
        <w:rPr>
          <w:rFonts w:hint="eastAsia" w:ascii="仿宋_GB2312" w:hAnsi="仿宋_GB2312" w:eastAsia="仿宋_GB2312" w:cs="仿宋_GB2312"/>
          <w:b w:val="0"/>
          <w:bCs w:val="0"/>
          <w:sz w:val="32"/>
          <w:szCs w:val="32"/>
          <w:highlight w:val="none"/>
        </w:rPr>
        <w:t>内容不好。</w:t>
      </w:r>
    </w:p>
    <w:p>
      <w:pPr>
        <w:pStyle w:val="18"/>
        <w:spacing w:after="156" w:afterLines="50"/>
        <w:ind w:left="419" w:hanging="62"/>
        <w:jc w:val="both"/>
        <w:rPr>
          <w:rStyle w:val="19"/>
          <w:rFonts w:hint="eastAsia" w:ascii="华文中宋" w:hAnsi="华文中宋" w:eastAsia="华文中宋"/>
          <w:highlight w:val="none"/>
        </w:rPr>
      </w:pPr>
    </w:p>
    <w:p>
      <w:pPr>
        <w:pStyle w:val="18"/>
        <w:spacing w:after="156" w:afterLines="50"/>
        <w:ind w:left="419" w:hanging="62"/>
        <w:jc w:val="both"/>
        <w:rPr>
          <w:rStyle w:val="19"/>
          <w:rFonts w:hint="eastAsia" w:ascii="华文中宋" w:hAnsi="华文中宋" w:eastAsia="华文中宋"/>
          <w:highlight w:val="none"/>
        </w:rPr>
      </w:pP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73" w:name="_Toc245558686"/>
      <w:r>
        <w:rPr>
          <w:rFonts w:hint="eastAsia" w:ascii="仿宋_GB2312" w:hAnsi="仿宋_GB2312" w:eastAsia="仿宋_GB2312" w:cs="仿宋_GB2312"/>
          <w:b/>
          <w:bCs/>
          <w:sz w:val="32"/>
          <w:szCs w:val="32"/>
          <w:highlight w:val="none"/>
        </w:rPr>
        <w:t>3．对演出场所的评价：81.6</w:t>
      </w:r>
      <w:r>
        <w:rPr>
          <w:rFonts w:hint="eastAsia" w:ascii="仿宋_GB2312" w:hAnsi="仿宋_GB2312" w:eastAsia="仿宋_GB2312" w:cs="仿宋_GB2312"/>
          <w:b/>
          <w:bCs/>
          <w:sz w:val="32"/>
          <w:szCs w:val="32"/>
          <w:highlight w:val="none"/>
          <w:lang w:val="en-US" w:eastAsia="zh-CN"/>
        </w:rPr>
        <w:t>0</w:t>
      </w:r>
      <w:r>
        <w:rPr>
          <w:rFonts w:hint="eastAsia" w:ascii="仿宋_GB2312" w:hAnsi="仿宋_GB2312" w:eastAsia="仿宋_GB2312" w:cs="仿宋_GB2312"/>
          <w:b/>
          <w:bCs/>
          <w:sz w:val="32"/>
          <w:szCs w:val="32"/>
          <w:highlight w:val="none"/>
        </w:rPr>
        <w:t>%的人认为</w:t>
      </w:r>
      <w:r>
        <w:rPr>
          <w:rFonts w:hint="eastAsia" w:ascii="仿宋_GB2312" w:hAnsi="仿宋_GB2312" w:eastAsia="仿宋_GB2312" w:cs="仿宋_GB2312"/>
          <w:b/>
          <w:bCs/>
          <w:sz w:val="32"/>
          <w:szCs w:val="32"/>
          <w:highlight w:val="none"/>
          <w:lang w:eastAsia="zh-CN"/>
        </w:rPr>
        <w:t>四川省</w:t>
      </w:r>
      <w:r>
        <w:rPr>
          <w:rFonts w:hint="eastAsia" w:ascii="仿宋_GB2312" w:hAnsi="仿宋_GB2312" w:eastAsia="仿宋_GB2312" w:cs="仿宋_GB2312"/>
          <w:b/>
          <w:bCs/>
          <w:sz w:val="32"/>
          <w:szCs w:val="32"/>
          <w:highlight w:val="none"/>
        </w:rPr>
        <w:t>演出场所较好</w:t>
      </w:r>
      <w:bookmarkEnd w:id="73"/>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在对演出场所进行评价时，19.7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%的观众认为</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演出场所非常好，61.9</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%的人认为</w:t>
      </w:r>
      <w:r>
        <w:rPr>
          <w:rFonts w:hint="eastAsia" w:ascii="仿宋_GB2312" w:hAnsi="仿宋_GB2312" w:eastAsia="仿宋_GB2312" w:cs="仿宋_GB2312"/>
          <w:b w:val="0"/>
          <w:bCs w:val="0"/>
          <w:sz w:val="32"/>
          <w:szCs w:val="32"/>
          <w:highlight w:val="none"/>
          <w:lang w:eastAsia="zh-CN"/>
        </w:rPr>
        <w:t>四川省</w:t>
      </w:r>
      <w:r>
        <w:rPr>
          <w:rFonts w:hint="eastAsia" w:ascii="仿宋_GB2312" w:hAnsi="仿宋_GB2312" w:eastAsia="仿宋_GB2312" w:cs="仿宋_GB2312"/>
          <w:b w:val="0"/>
          <w:bCs w:val="0"/>
          <w:sz w:val="32"/>
          <w:szCs w:val="32"/>
          <w:highlight w:val="none"/>
        </w:rPr>
        <w:t>演出场所比较好。只有不到1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%的观众认为演出场所较差。总体而言，观众对演出场所的满意度较高。</w:t>
      </w:r>
    </w:p>
    <w:p>
      <w:pPr>
        <w:jc w:val="center"/>
        <w:rPr>
          <w:rFonts w:hint="eastAsia" w:ascii="华文中宋" w:hAnsi="华文中宋" w:eastAsia="华文中宋"/>
          <w:highlight w:val="none"/>
        </w:rPr>
      </w:pPr>
      <w:r>
        <w:rPr>
          <w:rFonts w:ascii="华文中宋" w:hAnsi="华文中宋" w:eastAsia="华文中宋"/>
          <w:highlight w:val="none"/>
        </w:rPr>
        <w:object>
          <v:shape id="_x0000_i1053" o:spt="75" type="#_x0000_t75" style="height:176.8pt;width:302.8pt;" o:ole="t" filled="f" o:preferrelative="f" stroked="f" coordsize="21600,21600">
            <v:path/>
            <v:fill on="f" alignshape="1" focussize="0,0"/>
            <v:stroke on="f"/>
            <v:imagedata r:id="rId107" grayscale="f" bilevel="f" o:title=""/>
            <o:lock v:ext="edit" aspectratio="f"/>
            <w10:wrap type="none"/>
            <w10:anchorlock/>
          </v:shape>
          <o:OLEObject Type="Embed" ProgID="MSGraph.Chart.8" ShapeID="_x0000_i1053" DrawAspect="Content" ObjectID="_1468075754" r:id="rId106">
            <o:LockedField>false</o:LockedField>
          </o:OLEObject>
        </w:object>
      </w:r>
    </w:p>
    <w:p>
      <w:pPr>
        <w:pStyle w:val="18"/>
        <w:spacing w:after="156" w:afterLines="50"/>
        <w:ind w:left="419" w:hanging="62"/>
        <w:jc w:val="center"/>
        <w:rPr>
          <w:rFonts w:hint="eastAsia" w:ascii="华文中宋" w:hAnsi="华文中宋" w:eastAsia="华文中宋"/>
          <w:b/>
          <w:szCs w:val="21"/>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-4</w:t>
      </w:r>
      <w:r>
        <w:rPr>
          <w:rStyle w:val="19"/>
          <w:rFonts w:hint="eastAsia" w:ascii="华文中宋" w:hAnsi="华文中宋" w:eastAsia="华文中宋"/>
          <w:highlight w:val="none"/>
          <w:lang w:val="en-US" w:eastAsia="zh-CN"/>
        </w:rPr>
        <w:t xml:space="preserve">0  </w:t>
      </w:r>
      <w:r>
        <w:rPr>
          <w:rStyle w:val="19"/>
          <w:rFonts w:hint="eastAsia" w:ascii="华文中宋" w:hAnsi="华文中宋" w:eastAsia="华文中宋"/>
          <w:highlight w:val="none"/>
        </w:rPr>
        <w:t>对</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演出场所的评价</w:t>
      </w:r>
    </w:p>
    <w:p>
      <w:pPr>
        <w:pStyle w:val="5"/>
        <w:keepNext/>
        <w:keepLines/>
        <w:pageBreakBefore w:val="0"/>
        <w:widowControl w:val="0"/>
        <w:kinsoku/>
        <w:wordWrap/>
        <w:overflowPunct/>
        <w:topLinePunct w:val="0"/>
        <w:autoSpaceDE/>
        <w:autoSpaceDN/>
        <w:bidi w:val="0"/>
        <w:adjustRightInd/>
        <w:snapToGrid w:val="0"/>
        <w:spacing w:before="0" w:after="0"/>
        <w:ind w:left="0" w:firstLine="643" w:firstLineChars="200"/>
        <w:textAlignment w:val="auto"/>
        <w:rPr>
          <w:rFonts w:hint="eastAsia" w:ascii="仿宋_GB2312" w:hAnsi="仿宋_GB2312" w:eastAsia="仿宋_GB2312" w:cs="仿宋_GB2312"/>
          <w:b/>
          <w:bCs/>
          <w:sz w:val="32"/>
          <w:szCs w:val="32"/>
          <w:highlight w:val="none"/>
        </w:rPr>
      </w:pPr>
      <w:bookmarkStart w:id="74" w:name="_Toc245558687"/>
      <w:r>
        <w:rPr>
          <w:rFonts w:hint="eastAsia" w:ascii="仿宋_GB2312" w:hAnsi="仿宋_GB2312" w:eastAsia="仿宋_GB2312" w:cs="仿宋_GB2312"/>
          <w:b/>
          <w:bCs/>
          <w:sz w:val="32"/>
          <w:szCs w:val="32"/>
          <w:highlight w:val="none"/>
        </w:rPr>
        <w:t>4．对演出场所的建议：希望增加停车位和座位舒适度等</w:t>
      </w:r>
      <w:bookmarkEnd w:id="74"/>
    </w:p>
    <w:p>
      <w:pPr>
        <w:pStyle w:val="5"/>
        <w:keepNext/>
        <w:keepLines/>
        <w:pageBreakBefore w:val="0"/>
        <w:widowControl w:val="0"/>
        <w:kinsoku/>
        <w:wordWrap/>
        <w:overflowPunct/>
        <w:topLinePunct w:val="0"/>
        <w:autoSpaceDE/>
        <w:autoSpaceDN/>
        <w:bidi w:val="0"/>
        <w:adjustRightInd/>
        <w:snapToGrid w:val="0"/>
        <w:spacing w:before="0" w:after="0"/>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观众对演出场所的建议主要集中在增加停车位和座位舒适度，这两项分别有36.3</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%和33.7</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%的观众选择。同时，在场馆配套设施、场馆服务水平和舞台设施等方面，观众也希望加以完善和提高。</w:t>
      </w:r>
    </w:p>
    <w:p>
      <w:pPr>
        <w:jc w:val="center"/>
        <w:rPr>
          <w:rFonts w:hint="eastAsia" w:ascii="华文中宋" w:hAnsi="华文中宋" w:eastAsia="华文中宋"/>
          <w:highlight w:val="none"/>
        </w:rPr>
      </w:pPr>
      <w:r>
        <w:rPr>
          <w:rFonts w:ascii="华文中宋" w:hAnsi="华文中宋" w:eastAsia="华文中宋"/>
          <w:highlight w:val="none"/>
        </w:rPr>
        <w:object>
          <v:shape id="_x0000_i1054" o:spt="75" type="#_x0000_t75" style="height:198.8pt;width:283.6pt;" o:ole="t" filled="f" o:preferrelative="t" stroked="f" coordsize="21600,21600">
            <v:path/>
            <v:fill on="f" alignshape="1" focussize="0,0"/>
            <v:stroke on="f"/>
            <v:imagedata r:id="rId109" grayscale="f" bilevel="f" o:title=""/>
            <o:lock v:ext="edit" aspectratio="t"/>
            <w10:wrap type="none"/>
            <w10:anchorlock/>
          </v:shape>
          <o:OLEObject Type="Embed" ProgID="MSGraph.Chart.8" ShapeID="_x0000_i1054" DrawAspect="Content" ObjectID="_1468075755" r:id="rId108">
            <o:LockedField>false</o:LockedField>
          </o:OLEObject>
        </w:object>
      </w:r>
    </w:p>
    <w:p>
      <w:pPr>
        <w:pStyle w:val="18"/>
        <w:spacing w:after="156" w:afterLines="50"/>
        <w:ind w:left="419" w:hanging="62"/>
        <w:jc w:val="center"/>
        <w:rPr>
          <w:rStyle w:val="19"/>
          <w:rFonts w:hint="eastAsia" w:ascii="华文中宋" w:hAnsi="华文中宋" w:eastAsia="华文中宋"/>
          <w:highlight w:val="none"/>
        </w:rPr>
      </w:pPr>
      <w:r>
        <w:rPr>
          <w:rStyle w:val="19"/>
          <w:rFonts w:hint="eastAsia" w:ascii="华文中宋" w:hAnsi="华文中宋" w:eastAsia="华文中宋"/>
          <w:highlight w:val="none"/>
        </w:rPr>
        <w:t>图表</w:t>
      </w:r>
      <w:r>
        <w:rPr>
          <w:rStyle w:val="19"/>
          <w:rFonts w:hint="eastAsia" w:ascii="华文中宋" w:hAnsi="华文中宋" w:eastAsia="华文中宋"/>
          <w:highlight w:val="none"/>
          <w:lang w:val="en-US" w:eastAsia="zh-CN"/>
        </w:rPr>
        <w:t>8</w:t>
      </w:r>
      <w:r>
        <w:rPr>
          <w:rStyle w:val="19"/>
          <w:rFonts w:hint="eastAsia" w:ascii="华文中宋" w:hAnsi="华文中宋" w:eastAsia="华文中宋"/>
          <w:highlight w:val="none"/>
        </w:rPr>
        <w:t>-4</w:t>
      </w:r>
      <w:r>
        <w:rPr>
          <w:rStyle w:val="19"/>
          <w:rFonts w:hint="eastAsia" w:ascii="华文中宋" w:hAnsi="华文中宋" w:eastAsia="华文中宋"/>
          <w:highlight w:val="none"/>
          <w:lang w:val="en-US" w:eastAsia="zh-CN"/>
        </w:rPr>
        <w:t>1</w:t>
      </w:r>
      <w:r>
        <w:rPr>
          <w:rStyle w:val="19"/>
          <w:rFonts w:hint="eastAsia" w:ascii="华文中宋" w:hAnsi="华文中宋" w:eastAsia="华文中宋"/>
          <w:highlight w:val="none"/>
        </w:rPr>
        <w:t xml:space="preserve"> 对</w:t>
      </w:r>
      <w:r>
        <w:rPr>
          <w:rStyle w:val="19"/>
          <w:rFonts w:hint="eastAsia" w:ascii="华文中宋" w:hAnsi="华文中宋" w:eastAsia="华文中宋"/>
          <w:highlight w:val="none"/>
          <w:lang w:eastAsia="zh-CN"/>
        </w:rPr>
        <w:t>四川省</w:t>
      </w:r>
      <w:r>
        <w:rPr>
          <w:rStyle w:val="19"/>
          <w:rFonts w:hint="eastAsia" w:ascii="华文中宋" w:hAnsi="华文中宋" w:eastAsia="华文中宋"/>
          <w:highlight w:val="none"/>
        </w:rPr>
        <w:t>演出场所的建议</w:t>
      </w:r>
    </w:p>
    <w:p>
      <w:pPr>
        <w:rPr>
          <w:highlight w:val="none"/>
        </w:rPr>
      </w:pPr>
    </w:p>
    <w:p>
      <w:pPr>
        <w:jc w:val="both"/>
        <w:rPr>
          <w:rFonts w:hint="eastAsia" w:ascii="华文中宋" w:hAnsi="华文中宋" w:eastAsia="华文中宋"/>
          <w:sz w:val="32"/>
          <w:szCs w:val="32"/>
        </w:rPr>
      </w:pPr>
    </w:p>
    <w:p>
      <w:pPr>
        <w:pStyle w:val="17"/>
        <w:rPr>
          <w:rFonts w:hint="eastAsia"/>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jc w:val="center"/>
        <w:rPr>
          <w:rFonts w:hint="eastAsia" w:ascii="方正小标宋简体" w:hAnsi="方正小标宋简体" w:eastAsia="方正小标宋简体" w:cs="方正小标宋简体"/>
          <w:b w:val="0"/>
          <w:bCs w:val="0"/>
          <w:sz w:val="44"/>
          <w:szCs w:val="44"/>
        </w:rPr>
      </w:pPr>
    </w:p>
    <w:p>
      <w:pPr>
        <w:pStyle w:val="2"/>
        <w:rPr>
          <w:rFonts w:hint="eastAsia" w:ascii="方正小标宋简体" w:hAnsi="方正小标宋简体" w:eastAsia="方正小标宋简体" w:cs="方正小标宋简体"/>
          <w:b w:val="0"/>
          <w:bCs w:val="0"/>
          <w:sz w:val="44"/>
          <w:szCs w:val="44"/>
        </w:rPr>
      </w:pPr>
    </w:p>
    <w:p>
      <w:pPr>
        <w:rPr>
          <w:rFonts w:hint="eastAsia" w:ascii="方正小标宋简体" w:hAnsi="方正小标宋简体" w:eastAsia="方正小标宋简体" w:cs="方正小标宋简体"/>
          <w:b w:val="0"/>
          <w:bCs w:val="0"/>
          <w:sz w:val="44"/>
          <w:szCs w:val="44"/>
        </w:rPr>
      </w:pPr>
    </w:p>
    <w:p>
      <w:pPr>
        <w:pStyle w:val="2"/>
        <w:rPr>
          <w:rFonts w:hint="eastAsia"/>
        </w:rPr>
      </w:pP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第九章：四川省演出新业态状况与前景分析</w:t>
      </w:r>
    </w:p>
    <w:p>
      <w:pPr>
        <w:rPr>
          <w:rFonts w:hint="eastAsia" w:ascii="仿宋_GB2312" w:hAnsi="仿宋_GB2312" w:eastAsia="仿宋_GB2312" w:cs="仿宋_GB2312"/>
          <w:b/>
          <w:bCs/>
          <w:sz w:val="32"/>
          <w:szCs w:val="32"/>
        </w:rPr>
      </w:pPr>
    </w:p>
    <w:p>
      <w:pPr>
        <w:numPr>
          <w:ilvl w:val="0"/>
          <w:numId w:val="0"/>
        </w:numPr>
        <w:ind w:firstLine="640" w:firstLineChars="200"/>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一、四川省演出新业态基本情况</w:t>
      </w:r>
    </w:p>
    <w:p>
      <w:pPr>
        <w:widowControl w:val="0"/>
        <w:numPr>
          <w:ilvl w:val="0"/>
          <w:numId w:val="0"/>
        </w:numPr>
        <w:ind w:firstLine="640" w:firstLineChars="200"/>
        <w:jc w:val="both"/>
        <w:rPr>
          <w:rFonts w:hint="eastAsia"/>
          <w:lang w:val="en-US" w:eastAsia="zh-CN"/>
        </w:rPr>
      </w:pPr>
      <w:r>
        <w:rPr>
          <w:rFonts w:hint="eastAsia" w:ascii="仿宋_GB2312" w:hAnsi="仿宋_GB2312" w:eastAsia="仿宋_GB2312" w:cs="仿宋_GB2312"/>
          <w:b w:val="0"/>
          <w:bCs w:val="0"/>
          <w:sz w:val="32"/>
          <w:szCs w:val="32"/>
          <w:lang w:val="en-US" w:eastAsia="zh-CN"/>
        </w:rPr>
        <w:t>随着社会快速发展，娱乐行业创造者和青年消费者带来更多新的消费理念、消费方式、文化潮流，以密室逃脱、剧本杀等为代表的沉浸式娱乐行业，因其高度符合“Z 世代”注重彰显个性，注重娱乐方式的社交性等特点，成为颇受青年一代青睐的新兴文化娱乐方式。沉浸式娱乐作为新业态呈现出的蓬勃发展势头，通过综艺节目、B 站、抖音、快手、小红书等平台的快速传播，逐渐受到广泛关注。据资料显示，自2013年国内引进首个沉浸式剧本产品《Death Wears White 》（死穿白）起，经过8年的演变沉浸式剧本娱乐已经衍生出“剧场演绎”“桌面剧本杀”“实景剧本杀”等细分业态。受新冠肺炎疫情影响，2020年-2021年间，线上剧本杀类娱乐APP和小程序迎来流量高峰期，线上、线下共同快速发展，成为青少年群体重要的社交方式之一。剧本杀类业态逐步形成较完善的产业链。根据《中国沉浸式剧本娱乐行业研究报告》显示，全国沉浸式娱乐经营场所数量呈现以京、沪最为集聚，成都、武汉等为第二梯队的区域特征，成都市门店数量位居全国第三。</w:t>
      </w:r>
    </w:p>
    <w:p>
      <w:pPr>
        <w:widowControl w:val="0"/>
        <w:numPr>
          <w:ilvl w:val="0"/>
          <w:numId w:val="0"/>
        </w:num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另一方面，自2020年疫情后，演唱会、歌舞剧、音乐剧、话剧等推迟和取消，已经成了演艺行业的一种常态。在疫情反复的现状下，受到严重冲击的线下演艺市场前行愈发艰难。</w:t>
      </w:r>
    </w:p>
    <w:p>
      <w:pPr>
        <w:widowControl w:val="0"/>
        <w:numPr>
          <w:ilvl w:val="0"/>
          <w:numId w:val="0"/>
        </w:num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为贯彻落实文化和旅游部帮扶企业纾困推动产业发展经验交流电视电话会议精神，四川省文化和旅游厅积极响应，于2020年7月28日便召开“云演艺”推进工作座谈会。文旅厅下属各部门、省直文化艺术单位以及多家国内知名网络平台公司和重点信息化运营企业主要负责同志参加本次工作座谈会。多个省文化艺术单位提出了对“云演艺”模式的设想及合作需求，一致认为在疫情常态化下，线上的演出能够满足了人民群众的精神文化生活需求，具有广阔发展前景。各网络平台企业介绍了自身在网络云平台推广、运营方面的技术、资源优势，并从专业角度提出了独到建议，为四川省线上演艺发展奠定良好基础。</w:t>
      </w:r>
    </w:p>
    <w:p>
      <w:pPr>
        <w:widowControl w:val="0"/>
        <w:numPr>
          <w:ilvl w:val="0"/>
          <w:numId w:val="0"/>
        </w:num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2021年12月，四川省文化和旅游厅发布《2021全省文旅产业新项目新场景新模式》，提出12大文旅新场景，其中沉浸式旅游演艺是重要组成部分。全新的文旅项目融合沉浸式演艺与线上演艺等演出新业态，将加速形成具有四川特色的文旅新场景和新模式。</w:t>
      </w:r>
    </w:p>
    <w:p>
      <w:pPr>
        <w:numPr>
          <w:ilvl w:val="0"/>
          <w:numId w:val="0"/>
        </w:numPr>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二、四川省演出新业态项目案例</w:t>
      </w:r>
    </w:p>
    <w:p>
      <w:pPr>
        <w:widowControl w:val="0"/>
        <w:numPr>
          <w:ilvl w:val="0"/>
          <w:numId w:val="0"/>
        </w:numPr>
        <w:ind w:firstLine="643" w:firstLineChars="20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 沉浸式戏剧《成都偷心》</w:t>
      </w:r>
    </w:p>
    <w:p>
      <w:pPr>
        <w:widowControl w:val="0"/>
        <w:numPr>
          <w:ilvl w:val="0"/>
          <w:numId w:val="0"/>
        </w:num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浸没式戏剧《成都偷心》暨域上和美先锋剧场，是由域上和美携手中国著名先锋戏剧导演孟京辉联合打造，是孟京辉导演在全国的第一部针对城市定制的浸没式戏剧，剧场位于成都东湖公园，专为《成都偷心》定制打造，观众可自由漫步于8000多平方米的复杂立体的戏剧空间，选择不同的观赏路线，近在咫尺地体验不一样的表演和剧情，完全浸没在奇幻的戏剧空间里。该剧于2019年3月20日在成都举行了发布会，于2019年6月8日首演。因为疫情原因，《成都偷心》于2021年底宣布暂停演出。在演出的两年间，《成都偷心》共演出304场，总接待超12万人次游客，获得2800万的票房收入。</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成都偷心》是孟京辉继中国首部浸没式戏剧《死水边的美人鱼》后，打造的又一大胆的流动空间艺术计划，也是一场集表演艺术、空间视觉艺术、声音艺术、摄影艺术、多媒体影像、音乐、现代舞蹈等多元艺术形式融合的多维美学呈现。</w:t>
      </w:r>
      <w:r>
        <w:rPr>
          <w:rFonts w:hint="eastAsia" w:ascii="仿宋_GB2312" w:hAnsi="仿宋_GB2312" w:eastAsia="仿宋_GB2312" w:cs="仿宋_GB2312"/>
          <w:bCs/>
          <w:sz w:val="32"/>
          <w:szCs w:val="32"/>
        </w:rPr>
        <w:t>作为首部反映成都先锋文化精神的浸没式戏剧，以成都作为故事背景和灵感来源，以城市与感官的交织融合作为戏剧谜题，在多线和碎片化的时空里塑造全新的“爱情未来主义”。在《成都偷心》里，戏剧不再是观望舞台之上的雅致消遣，而是不设座位、观众跟随演员穿行在三层剧场的浸没乐园；</w:t>
      </w:r>
      <w:r>
        <w:rPr>
          <w:rFonts w:hint="eastAsia" w:ascii="仿宋_GB2312" w:hAnsi="仿宋_GB2312" w:eastAsia="仿宋_GB2312" w:cs="仿宋_GB2312"/>
          <w:sz w:val="32"/>
          <w:szCs w:val="32"/>
        </w:rPr>
        <w:t>观众不再是坐在舞台下的旁观者，而是自由探索神秘戏剧景观的漫游者。</w:t>
      </w:r>
      <w:r>
        <w:rPr>
          <w:rFonts w:hint="eastAsia" w:ascii="仿宋_GB2312" w:hAnsi="仿宋_GB2312" w:eastAsia="仿宋_GB2312" w:cs="仿宋_GB2312"/>
          <w:b w:val="0"/>
          <w:bCs w:val="0"/>
          <w:sz w:val="32"/>
          <w:szCs w:val="32"/>
          <w:lang w:val="en-US" w:eastAsia="zh-CN"/>
        </w:rPr>
        <w:t>首演至今，域上和美先锋剧场及《成都偷心》先后获评“四川十大文旅产业地标”“2019成都YOUNG榜年度文旅新地标”“成都市夜间经济示范点位”“兴川奖·文旅经济突出贡献奖”。</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据《成都偷心》两周年纪念统计，《成都偷心》全网曝光量已经超110亿，微博话题讨论量达2亿，抖音话题阅读量达3亿。数万观众走进域上和美先锋剧场，成为“偷心粉丝”中的一员，其中单人最高观看场次122场，更有不少超过“百刷”的观众。从某种角度来说，《成都偷心》已经不单单是一部浸没式戏剧，更是作为一个青年文化空间，一个体验成都当代艺术文化的有机整体，成为游客来成都新的打卡地。</w:t>
      </w:r>
    </w:p>
    <w:p>
      <w:pPr>
        <w:numPr>
          <w:ilvl w:val="0"/>
          <w:numId w:val="0"/>
        </w:numPr>
        <w:ind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 开心麻花《捞金晚宴》</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捞金晚宴》是开心麻花在成都推出的首部主题沉浸体验式喜剧，于2021年7月首演，将“互动”“美食”这些因素融入戏剧，创造都市新消费模式。整个故事发生在主角“敖二爷”的寿宴，场馆设置为宴会厅，在这场演出中，观众的身份是一大悬疑点，每位观众进场便被赋予了宴席嘉宾的身份，但随着剧情的推动，宾客的身份会发生变化。在每一幕戏剧完结之际，演员会为观众送上一些小零食，以构建“美食”的元素，同时让观众沉浸式地体验到“宴会”主题。</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开心麻花是中国顶尖喜剧品牌，在演出领域，开心麻花的年度演出场次、票房收入、观演人数居全国第一，而《捞金晚宴》是开心麻花在小剧场演出中的又一次成功的探索，它打破了传统镜框式舞台中演员与观众之间的界限，改变了戏剧正襟危坐的“游戏规则”，为观众的感官提供大量的信息与刺激。演出中的互动形式多样化和互动对象的创新化都值得更多行业从业者学习。</w:t>
      </w:r>
    </w:p>
    <w:p>
      <w:pPr>
        <w:numPr>
          <w:ilvl w:val="0"/>
          <w:numId w:val="0"/>
        </w:numPr>
        <w:ind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 环球魔力沉浸式剧场</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环球魔力沉浸式剧场位于成都市成华区萌想星球107文创园，其实景面积约3000平方米，该剧场于2021年9月5日正式开业，是环球魔力耗资千万，筹备近3年，打造的原创实景文娱IP宇宙全国首店，包含了密室和剧本杀两大板块，根据原创IP剧本打造出沉浸式剧场，还有风格各异的剧本杀体验房间，最多可承载玩家总数达200人，是西南地区首个仓库式剧场，也是成都最大的沉浸式剧场。</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环球魔力沉浸式剧场突破“一个空间一个故事一种结局”的思维，建立了多选择多结局双剧本“4+1”大剧场模式，仅支线剧情就拥有100多种。玩家由第一人称视角展开探索，可以选择阵营或独立完成，随着剧情发展、任务的推动、与NPC的交互，触发不同的剧情，不同剧情的解锁又会带来新的任务和剧情发展。最终，会因为每个玩家的不同的选择的叠加，产生不同的故事结局。</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环球魔力作为扎根四川、引领西南、全国知名的沉浸式文娱品牌，将全国首店落户于成都，面积达3000平，总投资近两干万元，员工60余人。作为西南首个沉浸式综合体，内含：沉浸式剧场、剧本杀、沉浸式VR体验等新生代热门文娱消费内容，届于典型的新经济、新场景业态。知识产权板块：独立剧目5个，合作剧本300余个，联创剧目1个。</w:t>
      </w:r>
    </w:p>
    <w:p>
      <w:pPr>
        <w:numPr>
          <w:ilvl w:val="0"/>
          <w:numId w:val="0"/>
        </w:numPr>
        <w:ind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 川剧院“云演出”</w:t>
      </w:r>
    </w:p>
    <w:p>
      <w:pPr>
        <w:numPr>
          <w:ilvl w:val="0"/>
          <w:numId w:val="0"/>
        </w:numPr>
        <w:ind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2020年初的疫情使得几乎所有线下演出处于停滞状态，四川省川剧院如省内其他演艺集团、文艺演出团体一样尝试采取线上演出。2020年2月，四川省川剧院在抖音平台进行了“云赏川剧——四川省川剧院战疫情线上演出活动”，剧院演职人员在疫情期间创排的川剧小品、川剧戏歌、川剧折子戏等在线上展演，直播高峰期达到了千人的观看量。2020年6月，四川省川剧院参加了由全国地方戏演出中心网络平台线上剧场开展的“心在一起——全国地方戏戏曲展播月”。川剧院《金沙江畔》和《白蛇传》作为首演剧目在线上平台分别获得了1.2万人次和1.44万人次的点播量。截至8月，四川省川剧院的直播活动已经完成4.1万人次的观看量，传播率大大提高。</w:t>
      </w:r>
    </w:p>
    <w:p>
      <w:pPr>
        <w:numPr>
          <w:ilvl w:val="0"/>
          <w:numId w:val="0"/>
        </w:numPr>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三、演出新业态国内其他案例</w:t>
      </w:r>
    </w:p>
    <w:p>
      <w:pPr>
        <w:widowControl w:val="0"/>
        <w:numPr>
          <w:ilvl w:val="0"/>
          <w:numId w:val="0"/>
        </w:numPr>
        <w:ind w:firstLine="643" w:firstLineChars="20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 “一台好戏”小剧场演艺新空间</w:t>
      </w:r>
    </w:p>
    <w:p>
      <w:pPr>
        <w:numPr>
          <w:ilvl w:val="0"/>
          <w:numId w:val="0"/>
        </w:numPr>
        <w:ind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台好戏小剧场推动建⽴的“星空间”目前是上海黄浦演艺区重点推进项目，由此诞⽣了上海独有的“演艺新空间”模式。一批从商厦、酒店、书店、酒吧、咖啡吧等商业场馆中开拓出来的演出场地会把整个商圈周边都拉动起来，形成文、商、旅融合的场景式消费模式。</w:t>
      </w:r>
    </w:p>
    <w:p>
      <w:pPr>
        <w:numPr>
          <w:ilvl w:val="0"/>
          <w:numId w:val="0"/>
        </w:numPr>
        <w:ind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台好戏已有上海人民广场汉口路剧场4座，年演出场次达1600余场，人流量超18万人次。未来三年一台好戏上海地区剧场数量将进⼀步扩充，同时全国范围进驻北京、成都、长沙、广州、杭州，总剧场数达到20个以上，开发运营2个城市剧院集群街区。</w:t>
      </w:r>
    </w:p>
    <w:p>
      <w:pPr>
        <w:numPr>
          <w:ilvl w:val="0"/>
          <w:numId w:val="0"/>
        </w:numPr>
        <w:ind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台好戏自2018年创立以来，已经积累了超过4万的注册付费会员，核心观众群集中在95——00世代，其中70%为最具消费活力的城市告知女性，高频观众累计消费平均达5000元。“一台好戏小剧场”采取“单剧目长期驻演+专属沉浸式环境”的开发模式孵化了驻演剧场《桑塔露琪亚》《你好，我找Smith》等优秀剧目。旗下小剧场全年演出场次达到1200场，营收突破5000万。</w:t>
      </w:r>
    </w:p>
    <w:p>
      <w:pPr>
        <w:numPr>
          <w:ilvl w:val="0"/>
          <w:numId w:val="0"/>
        </w:numPr>
        <w:ind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阿波罗尼亚》是国内首个将音乐剧演艺与环境剧场沉浸式体验相结合的全新演艺形态，同时也是国内首个采用OpenRun长档期驻演模式的音乐剧小剧场，通过对商业空间、写字楼等标准演出场所改建而打破了剧场展演空间的限制，以沉浸式驻演实现演艺经营模式的突破。该剧改编自韩国音乐剧《Mia Famiglia》，从万人传唱的首尔大学路票房之王，到火爆魔都的新晋打卡路标，如今已是点燃蓉城的娱乐新方式。该剧自2021年10月正式落户成都，已经在2021年完成41场演出，共接待4500人次游客，创造130万元票房收入。</w:t>
      </w:r>
    </w:p>
    <w:p>
      <w:pPr>
        <w:widowControl w:val="0"/>
        <w:numPr>
          <w:ilvl w:val="0"/>
          <w:numId w:val="0"/>
        </w:numPr>
        <w:ind w:firstLine="643" w:firstLineChars="20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 “戏剧云课堂”，普及艺术教育</w:t>
      </w:r>
    </w:p>
    <w:p>
      <w:pPr>
        <w:widowControl w:val="0"/>
        <w:numPr>
          <w:ilvl w:val="0"/>
          <w:numId w:val="0"/>
        </w:numPr>
        <w:ind w:firstLine="640" w:firstLineChars="20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中国福利会儿童艺术剧院曾经在2020年尝试过“马兰花公益戏剧云课堂”，当时是以直播的形式开启了八期“戏剧公益云课堂”，为上海瑞金医院“萌娃社”推送艺术在线学习资源。</w:t>
      </w:r>
    </w:p>
    <w:p>
      <w:pPr>
        <w:numPr>
          <w:ilvl w:val="0"/>
          <w:numId w:val="0"/>
        </w:numPr>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四、四川省演出新业态的发展趋势</w:t>
      </w:r>
    </w:p>
    <w:p>
      <w:pPr>
        <w:numPr>
          <w:ilvl w:val="0"/>
          <w:numId w:val="0"/>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 线上演艺规范运作</w:t>
      </w:r>
    </w:p>
    <w:p>
      <w:pPr>
        <w:widowControl w:val="0"/>
        <w:numPr>
          <w:ilvl w:val="0"/>
          <w:numId w:val="0"/>
        </w:numPr>
        <w:tabs>
          <w:tab w:val="left" w:pos="312"/>
        </w:tabs>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线上演艺不是简单地把剧场录制的演出视放映到线上呈现，它颠覆了传统剧场镜框式舞台的观演关系，一定程度上需要传统演艺行业改变传统创作观念，适应新的载体特点和传播规律，重塑文艺创作生产组织方式，在信息化时代做到在节目内容形态上简短精悍，在艺术表现形态上强化体验互动，在技术传播形态上勇于变革求新，推动内容形式手段更具网络属性，更加符合网络年轻观众的口味。</w:t>
      </w:r>
    </w:p>
    <w:p>
      <w:pPr>
        <w:widowControl w:val="0"/>
        <w:numPr>
          <w:ilvl w:val="0"/>
          <w:numId w:val="0"/>
        </w:numPr>
        <w:tabs>
          <w:tab w:val="left" w:pos="312"/>
        </w:tabs>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传统演艺演出如果想要做到常态化“云演艺”，将会面临诸多问题。四川省川剧院在完成7场线上展演就暴露了线上组织化统筹调集创作资源能力不足以及网络流量线上线下转化率不高的问题。各演出单位要建设和探索一支线上演出团队一方面需要演艺行业加大改革力度，大胆实践、主动探索线上线下融合发展的新型演艺发展道路，另一方面也需要政府进一步健全完善文化经济政策，加强开展线上业务培训和线上人才队伍培养，引导支持疫情防控常态化传统演艺行业创新发展。</w:t>
      </w:r>
    </w:p>
    <w:p>
      <w:pPr>
        <w:numPr>
          <w:ilvl w:val="0"/>
          <w:numId w:val="0"/>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 沉浸式娱乐行业管理政策</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密室逃脱”“剧本杀”行业已具备一定的市场规模和社会影响力，并在行业端集中反映出积极作用和风险点。目前已有个别省市文化和旅游部门尝试出台相应管理政策，全国两会期间“剧本杀”“密室逃脱”也成为各地代表关注和建议的热点。由国家文化和旅游部快速出台管理政策，指导各地进行统一、规范的管理，积极回应社会关切，引导行业高质量发展是非常有必要的。</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此外，在产业前端建立自我管理自我发展的机制是行政管理的有效补充，各级文化和旅游管理部门支持指导行业组织规范开展内容自审、版权自律保护、未成年人适龄提示、从业人员职业素养培训等行业自律工作，确保产业前端的自律标准与政府部门要求看齐，确保自律成效符合社会期望，确保市场自我调节功能科学规范。一方面，未成年人自制力差、辨识力差，需考虑其特征，为未成年人推荐积极、健康、符合其年龄阶段的主题。应依规建立对应的、可落地的保护措施。另一方面，行业知识产权问题受到官方机构和平台的高度重视，合理的行业管理政策可以推动参与整个行业产业链各方的知识产权合法权益受到保护，鼓励行业持续创新和发展。</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沉浸式娱乐行业受众以青年人为主，通过行业的力量宣传社会主义核心价值观意义重大。建议进一步鼓励沉浸式娱乐行业研发、设计符合社会主义核心价值观的主题场景、剧本等文化产品，传播中华优秀传统文化，弘扬正能量。</w:t>
      </w:r>
    </w:p>
    <w:p>
      <w:pPr>
        <w:numPr>
          <w:ilvl w:val="0"/>
          <w:numId w:val="0"/>
        </w:numPr>
        <w:ind w:leftChars="0"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 沉浸式娱乐行业跨界合作</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密室逃脱类、剧本杀类为主的沉浸式剧本娱乐发展速度快，成为拉动国内文娱消费增长的重要动力，沉浸式剧本娱乐行业通过文化内容、创意设计和前沿科技的相互融合，具有很强的沉浸式体验和互动式娱乐的社交属性。景区、酒店、博物馆、商场、传统娱乐场所等不同行业逐渐将沉浸式娱乐融入新消费场景，为行业转型升级、提质创新带来新的发展思路。建议进一步整合文旅行业资源，促进旅游景区、博物馆等文化旅游领域的资源与沉浸式娱乐行业开展IP开发、内容创作等方面的跨界合作，提升沉浸式文化娱乐产品文化内涵，共同打造新型文旅融合产品，推动中华优秀传统文化创造性转化和创新性发展。</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进一步，引导专业艺术院团、高校专家、专业编剧、作家等文艺工作者与沉浸式娱乐行业开展合作，为沉浸式娱乐行业在专业研究方面提供支持，在内容创作、情节演绎等方面合作创新，并探索建立行业人才培养体系。青年一代是最具创新激情和引领时代风尚的群体，搭建行业与青联、共青团等机构合作交流的平台，通过平台为沉浸式娱乐行业从业者提供政策引领、智力扶持、资源分享等方面支持，积极引导沉浸式娱乐行业的广大青年从业者参与到新时代社会主义精神文明建设中，积极展示沉浸式娱乐行业新风貌。</w:t>
      </w:r>
    </w:p>
    <w:p>
      <w:pPr>
        <w:spacing w:line="240" w:lineRule="auto"/>
        <w:jc w:val="both"/>
        <w:rPr>
          <w:rFonts w:hint="eastAsia" w:ascii="方正小标宋简体" w:hAnsi="方正小标宋简体" w:eastAsia="方正小标宋简体" w:cs="方正小标宋简体"/>
          <w:sz w:val="32"/>
          <w:szCs w:val="32"/>
          <w:highlight w:val="none"/>
          <w:lang w:val="en-US" w:eastAsia="zh-CN"/>
        </w:rPr>
      </w:pPr>
    </w:p>
    <w:p>
      <w:pPr>
        <w:pStyle w:val="17"/>
        <w:rPr>
          <w:rFonts w:hint="eastAsia" w:ascii="方正小标宋简体" w:hAnsi="方正小标宋简体" w:eastAsia="方正小标宋简体" w:cs="方正小标宋简体"/>
          <w:sz w:val="32"/>
          <w:szCs w:val="32"/>
          <w:highlight w:val="none"/>
          <w:lang w:val="en-US" w:eastAsia="zh-CN"/>
        </w:rPr>
      </w:pPr>
    </w:p>
    <w:p>
      <w:pPr>
        <w:rPr>
          <w:rFonts w:hint="eastAsia" w:ascii="方正小标宋简体" w:hAnsi="方正小标宋简体" w:eastAsia="方正小标宋简体" w:cs="方正小标宋简体"/>
          <w:sz w:val="32"/>
          <w:szCs w:val="32"/>
          <w:highlight w:val="none"/>
          <w:lang w:val="en-US" w:eastAsia="zh-CN"/>
        </w:rPr>
      </w:pPr>
    </w:p>
    <w:p>
      <w:pPr>
        <w:pStyle w:val="17"/>
        <w:rPr>
          <w:rFonts w:hint="eastAsia" w:ascii="方正小标宋简体" w:hAnsi="方正小标宋简体" w:eastAsia="方正小标宋简体" w:cs="方正小标宋简体"/>
          <w:sz w:val="32"/>
          <w:szCs w:val="32"/>
          <w:highlight w:val="none"/>
          <w:lang w:val="en-US" w:eastAsia="zh-CN"/>
        </w:rPr>
      </w:pPr>
    </w:p>
    <w:p>
      <w:pPr>
        <w:rPr>
          <w:rFonts w:hint="eastAsia"/>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pStyle w:val="2"/>
        <w:rPr>
          <w:rFonts w:hint="eastAsia" w:ascii="方正小标宋简体" w:hAnsi="方正小标宋简体" w:eastAsia="方正小标宋简体" w:cs="方正小标宋简体"/>
          <w:sz w:val="44"/>
          <w:szCs w:val="44"/>
          <w:highlight w:val="none"/>
          <w:lang w:val="en-US" w:eastAsia="zh-CN"/>
        </w:rPr>
      </w:pPr>
    </w:p>
    <w:p>
      <w:pPr>
        <w:rPr>
          <w:rFonts w:hint="eastAsia" w:ascii="方正小标宋简体" w:hAnsi="方正小标宋简体" w:eastAsia="方正小标宋简体" w:cs="方正小标宋简体"/>
          <w:sz w:val="44"/>
          <w:szCs w:val="44"/>
          <w:highlight w:val="none"/>
          <w:lang w:val="en-US" w:eastAsia="zh-CN"/>
        </w:rPr>
      </w:pPr>
    </w:p>
    <w:p>
      <w:pPr>
        <w:pStyle w:val="2"/>
        <w:rPr>
          <w:rFonts w:hint="eastAsia" w:ascii="方正小标宋简体" w:hAnsi="方正小标宋简体" w:eastAsia="方正小标宋简体" w:cs="方正小标宋简体"/>
          <w:sz w:val="44"/>
          <w:szCs w:val="44"/>
          <w:highlight w:val="none"/>
          <w:lang w:val="en-US" w:eastAsia="zh-CN"/>
        </w:rPr>
      </w:pPr>
    </w:p>
    <w:p>
      <w:pPr>
        <w:rPr>
          <w:rFonts w:hint="eastAsia" w:ascii="方正小标宋简体" w:hAnsi="方正小标宋简体" w:eastAsia="方正小标宋简体" w:cs="方正小标宋简体"/>
          <w:sz w:val="44"/>
          <w:szCs w:val="44"/>
          <w:highlight w:val="none"/>
          <w:lang w:val="en-US" w:eastAsia="zh-CN"/>
        </w:rPr>
      </w:pPr>
    </w:p>
    <w:p>
      <w:pPr>
        <w:pStyle w:val="2"/>
        <w:rPr>
          <w:rFonts w:hint="eastAsia" w:ascii="方正小标宋简体" w:hAnsi="方正小标宋简体" w:eastAsia="方正小标宋简体" w:cs="方正小标宋简体"/>
          <w:sz w:val="44"/>
          <w:szCs w:val="44"/>
          <w:highlight w:val="none"/>
          <w:lang w:val="en-US" w:eastAsia="zh-CN"/>
        </w:rPr>
      </w:pPr>
    </w:p>
    <w:p>
      <w:pPr>
        <w:rPr>
          <w:rFonts w:hint="eastAsia"/>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第十章  四川省演出市场的主要问题</w:t>
      </w:r>
    </w:p>
    <w:p>
      <w:pPr>
        <w:spacing w:line="240" w:lineRule="auto"/>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与发展对策</w:t>
      </w:r>
    </w:p>
    <w:p>
      <w:pPr>
        <w:spacing w:line="360" w:lineRule="auto"/>
        <w:rPr>
          <w:rFonts w:hint="eastAsia" w:asciiTheme="minorEastAsia" w:hAnsiTheme="minorEastAsia" w:eastAsiaTheme="minorEastAsia" w:cstheme="minorEastAsia"/>
          <w:sz w:val="24"/>
          <w:szCs w:val="24"/>
          <w:highlight w:val="none"/>
          <w:lang w:val="en-US" w:eastAsia="zh-CN"/>
        </w:rPr>
      </w:pPr>
      <w:r>
        <w:rPr>
          <w:rFonts w:hint="eastAsia" w:ascii="仿宋_GB2312" w:hAnsi="仿宋_GB2312" w:eastAsia="仿宋_GB2312" w:cs="仿宋_GB2312"/>
          <w:sz w:val="32"/>
          <w:szCs w:val="32"/>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t xml:space="preserve">  </w:t>
      </w:r>
    </w:p>
    <w:p>
      <w:pPr>
        <w:spacing w:line="360" w:lineRule="auto"/>
        <w:rPr>
          <w:rFonts w:hint="eastAsia" w:ascii="黑体" w:hAnsi="黑体" w:eastAsia="黑体" w:cs="黑体"/>
          <w:b w:val="0"/>
          <w:bCs w:val="0"/>
          <w:sz w:val="32"/>
          <w:szCs w:val="32"/>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  </w:t>
      </w:r>
      <w:r>
        <w:rPr>
          <w:rFonts w:hint="eastAsia" w:ascii="黑体" w:hAnsi="黑体" w:eastAsia="黑体" w:cs="黑体"/>
          <w:sz w:val="28"/>
          <w:szCs w:val="28"/>
          <w:highlight w:val="none"/>
          <w:lang w:val="en-US" w:eastAsia="zh-CN"/>
        </w:rPr>
        <w:t xml:space="preserve"> </w:t>
      </w:r>
      <w:r>
        <w:rPr>
          <w:rFonts w:hint="eastAsia" w:ascii="黑体" w:hAnsi="黑体" w:eastAsia="黑体" w:cs="黑体"/>
          <w:b/>
          <w:bCs/>
          <w:sz w:val="32"/>
          <w:szCs w:val="32"/>
          <w:highlight w:val="none"/>
          <w:lang w:val="en-US" w:eastAsia="zh-CN"/>
        </w:rPr>
        <w:t xml:space="preserve"> </w:t>
      </w:r>
      <w:r>
        <w:rPr>
          <w:rFonts w:hint="eastAsia" w:ascii="黑体" w:hAnsi="黑体" w:eastAsia="黑体" w:cs="黑体"/>
          <w:b w:val="0"/>
          <w:bCs w:val="0"/>
          <w:sz w:val="32"/>
          <w:szCs w:val="32"/>
          <w:highlight w:val="none"/>
          <w:lang w:val="en-US" w:eastAsia="zh-CN"/>
        </w:rPr>
        <w:t>一、主要问题</w:t>
      </w:r>
    </w:p>
    <w:p>
      <w:pPr>
        <w:pStyle w:val="2"/>
        <w:spacing w:line="360" w:lineRule="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b/>
          <w:bCs/>
          <w:sz w:val="32"/>
          <w:szCs w:val="32"/>
          <w:highlight w:val="none"/>
          <w:lang w:val="en-US" w:eastAsia="zh-CN"/>
        </w:rPr>
        <w:t xml:space="preserve"> 1、疫情影响增加演出市场发展不确定性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新冠疫情的爆发和持续不断的防控，使我省演出市场不断被迫停摆，随时可能面临剧场设施关停、演出取消和延期等情况，并为从业者制定后续创作规划、演出计划、档期安排、宣推方案等工作带来极大难度。疫情造成剧目停演，观众被隔离在家，大众文化需求被长期抑制；在疫情结束演出重启之后，我们可以较明显地感觉到一波文化消费反弹。但是部分消费者受疫情影响收入下降，同时观众心理上对公共场所聚集仍存在安全上的担心，这与其强烈的文化消费欲望相矛盾，演出市场恢复繁荣不可能一蹴而就，演艺行业整体面临新的挑战。因此，我们需要重新规划演出市场发展思路，整体提升演出行业的抗风险能力，开拓化危为机的发展空间。</w:t>
      </w:r>
    </w:p>
    <w:p>
      <w:p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2、演出市场资源分散，产业链不成熟</w:t>
      </w:r>
    </w:p>
    <w:p>
      <w:pPr>
        <w:spacing w:line="360" w:lineRule="auto"/>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从演出资源分配看</w:t>
      </w:r>
      <w:r>
        <w:rPr>
          <w:rFonts w:hint="default" w:ascii="仿宋_GB2312" w:hAnsi="仿宋_GB2312" w:eastAsia="仿宋_GB2312" w:cs="仿宋_GB2312"/>
          <w:sz w:val="32"/>
          <w:szCs w:val="32"/>
          <w:highlight w:val="none"/>
          <w:lang w:val="en-US" w:eastAsia="zh-CN"/>
        </w:rPr>
        <w:t>，我省剧场和演艺院团存在实力弱小、相互割裂、各自为战、资源配置分散等问题。虽然目前成立了四川剧场院线，但它是非盈利性松散组织，成员之间可以跨地区、跨行业,无隶属关系，相互之间的合作采取的是平等协商机制。而我省演出市场开发不均衡,剧场建设也没有统一标准，市场的成熟、观众的爱好、剧场的大小,经营的好坏等等都不一样。面对没有隶属关系的成员,诸事都需要协商,很难达成一致，极易出现选择项目内容难统一、确定项目价格难一致、落实项目演出难操作、计划项目档期难预见等问题。由于缺乏主导性力量，缺少剧场经营的统一管理平台，现有的四川剧场院线仅能制定行业自律规则、规范行业行为，不能常态化地承接和运作项目，省内各市（州）县鲜有好的商业项目运作,更鲜有运作成功的商业项目。因此，我省亟待成立一个覆盖演艺全产业链的稳定型、紧密型的企业联合经济实体。</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lang w:val="en-US" w:eastAsia="zh-CN"/>
        </w:rPr>
        <w:t>从演艺全产业链来看，上游演出院团、制作团队等缺乏持续打造爆款内容的实力，叫好与叫座之间常常难以平衡；中游演出经纪公司规模较小、资源分散，缺乏统筹运营能力，不能与其他演出团体、演出商建立长期的合作，单独运作项目成本太高；下游观众消费习惯还没培养起来，如何聚焦目标用户销售，也成为剧院和票务机构经营面临的难题。</w:t>
      </w:r>
    </w:p>
    <w:p>
      <w:p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3、市州场馆运营活跃度不高，使用效率低</w:t>
      </w:r>
    </w:p>
    <w:p>
      <w:pPr>
        <w:spacing w:line="360" w:lineRule="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sz w:val="32"/>
          <w:szCs w:val="32"/>
          <w:highlight w:val="none"/>
          <w:lang w:val="en-US" w:eastAsia="zh-CN"/>
        </w:rPr>
        <w:t xml:space="preserve"> 目前，我省演出市场发展不均衡，剧场依然存在政府投资大、使用率低、社会效益与经济效益差的尴尬局面，尤其是二级城市的专业剧场“有好剧院无好剧”，利用率、回报率低的情况更为普遍。例如广安、雅安、眉山、攀枝花、巴中等地的演出剧场，平均每年营业性演出都在30场以下。同时，随着近年来商业竞争愈加激烈，各地文化演出生存空间受到高利润行业的挤压，效益变得更加低下，一些具有地标意义和文化价值的剧场、场所被迫关闭、搬迁、转型。这一方面需要政府对文化设施给予保护和扶持，另一方面也需要剧场的管理者开拓赢利渠道，增强自身实力，提高使用效率，应对市场经济的冲击。 </w:t>
      </w:r>
    </w:p>
    <w:p>
      <w:p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4、缺乏有市场号召力的精品力作</w:t>
      </w:r>
    </w:p>
    <w:p>
      <w:pPr>
        <w:spacing w:line="360" w:lineRule="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val="0"/>
          <w:bCs w:val="0"/>
          <w:sz w:val="32"/>
          <w:szCs w:val="32"/>
          <w:highlight w:val="none"/>
          <w:lang w:val="en-US" w:eastAsia="zh-CN"/>
        </w:rPr>
        <w:t>我省大部分剧场和演出机构目前依然是分散、单体、弱小型运营，缺少龙头企业的引领，欠缺原创制作能力和运作大型演出项目的专业团队，缺乏宣传营销的渠道和影响力，至今仍很难形成有核心竞争力和高辨识度的演艺品牌。没有原创品牌和本土精品演出剧目吸引观众，就没有培育观众文化消费习惯的载体，尤其是在部分演出市场萧条、剧场利用率不高的地方，市民对商业演出更加陌生，没有把看演出作为平时的文化娱乐消费方式，即使喜欢看演出的观众仍习惯于以免费或低消费的文化消费方式观看演出。</w:t>
      </w:r>
    </w:p>
    <w:p>
      <w:pPr>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5、民营演艺企业发展困难</w:t>
      </w:r>
    </w:p>
    <w:p>
      <w:pPr>
        <w:spacing w:line="360" w:lineRule="auto"/>
        <w:ind w:firstLine="640" w:firstLineChars="200"/>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一是民营演艺企业大多体量小、实力弱，单个演艺主体号召力和影响力有限，因而接不到好的剧目，是演艺市场中抗风险能力最弱、受疫情冲击最明显的群体。例如：建在四川大学旁边、科华南路上的成都世外桃源大剧院，不仅地理位置佳，剧场设施设备也较先进完善，但由于剧场的经营管理是由酒店营运管理人员负责，营运后主要靠出租场地开展经营活动，除经常举办一些企业新产品发布及推销会外，自主引进的剧目少，且票房号召力不强。由于剧场经营管理人员的强项是酒店经营管理，加之该剧院既没有采取委托经营的方式，委托剧场经营管理经验丰富的公司或演出资源雄厚的演艺企业经营，在运营过程中与四川省剧场院线和西部演艺院线成员单位之间的合作交流又少，因而演出资源匮乏，剧场活跃度低。由于本身存在缺陷，加上疫情影响，该剧院已停业并准备改成大型演艺酒吧。</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二是民营演艺企业普遍存在人员结构不合理、专业素质较低、经营管理者思想观念落后不能适应文旅深度融合形势下演出市场转型升级需要等问题。全省新开业运营的剧场（尤其是民营剧场）不仅普遍缺少舞台专业技术人才，更缺少负责剧场安全生产的专职工作人员。华熙LIVE·528M、梵木艺术中心、大喜时代剧场、开心麻花环球汇等民营演艺企业都希望经济实力强、经营管理经验丰富、专业技术力量强的龙头企业对他们进行全方位的培训，促使他们的营运管理能力与服务水平大幅度提升。</w:t>
      </w:r>
    </w:p>
    <w:p>
      <w:pPr>
        <w:spacing w:line="360" w:lineRule="auto"/>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6、演出新业态缺乏行业标准，不利于市场监管</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近年来，以沉浸式演出娱乐为代表的新业态不断涌现，市场规模、受关注度等均呈现快速上升趋势，已成为一股强大的备受瞩目的文旅消费新势力。截至2021年1月，成都市内剧本杀线下门店达到708家，超过上海和北京，排名全国第一。目前，我省沉浸式演出娱乐行业正处在不断升级发展过程中，剧本杀+文旅、剧本杀+剧场、沉浸式演出+文旅等新业态类型丰富，新项目层出不穷，产业链条已覆盖到方方面面，出现在大众视野之中，创新出各种体验方式，形成了火热的“沉浸式文旅”现象。</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但在沉浸式演出娱乐市场快速发展的同时，由于新兴行业缺乏相关运营管理标准，市场监管存在明显空白，尤其是对内容审核、版权保护、安全生产、服务质量等环节缺乏监管依据，防护机制不健全，造成市场主体素质良莠不齐、市场无序竞争、安全隐患突出等问题。</w:t>
      </w:r>
    </w:p>
    <w:p>
      <w:pPr>
        <w:spacing w:line="360" w:lineRule="auto"/>
        <w:jc w:val="left"/>
        <w:rPr>
          <w:rFonts w:hint="eastAsia" w:ascii="黑体" w:hAnsi="黑体" w:eastAsia="黑体" w:cs="黑体"/>
          <w:b w:val="0"/>
          <w:bCs w:val="0"/>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r>
        <w:rPr>
          <w:rFonts w:hint="eastAsia" w:ascii="黑体" w:hAnsi="黑体" w:eastAsia="黑体" w:cs="黑体"/>
          <w:b w:val="0"/>
          <w:bCs w:val="0"/>
          <w:sz w:val="32"/>
          <w:szCs w:val="32"/>
          <w:highlight w:val="none"/>
          <w:lang w:val="en-US" w:eastAsia="zh-CN"/>
        </w:rPr>
        <w:t xml:space="preserve"> 二、发展对策</w:t>
      </w:r>
    </w:p>
    <w:p>
      <w:pPr>
        <w:pStyle w:val="2"/>
        <w:spacing w:line="360" w:lineRule="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b/>
          <w:bCs/>
          <w:sz w:val="32"/>
          <w:szCs w:val="32"/>
          <w:highlight w:val="none"/>
          <w:lang w:val="en-US" w:eastAsia="zh-CN"/>
        </w:rPr>
        <w:t xml:space="preserve">  1、实施科学精准防疫措施，大力开发“云演艺”</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2021年新冠疫情为演出行业带来重大影响，但从某种程度上说，也助推了我省演艺产业跨界融合发展之势。疫情激化的现实矛盾，让我们更加深刻认识到，剧院等演出机构只有建立健全科学精准的长效防控机制，才能保障演出活动的安全和顺利开展；只有打破传统单一业务模式和线下封闭空间，积极开拓线上线下结合的多元化全产业链经营，才能实现全方位高质量发展。</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首先，疫情凸显了剧院等演出机构在日常运营中缺乏长效应急防控机制，目前最重要的就是要完善剧场防疫系统并形成长效机制，确保后疫情时代剧院演出正常进行。经此一“疫”，可以认识到，在出现不可抗力的情况下，演出行业具有“敏感”特征。因此，为应对各种形式的外在不可控因素，剧院等演出机构应当考虑建立日常和特殊时期两套运行机制，坚持及时发现、快速处置、精准管控、有效救治，有效保护广大观众及员工的生命健康安全，保证剧院正常的经营秩序。除了日常防护不松懈之外，还应请求政府建立在特殊时期对文化演出行业实施政策援助的机制，并进一步提高风险意识，强化突发事件的心理准备和素质能力，避免出现特殊时期“两眼一抹黑”的窘况。</w:t>
      </w:r>
    </w:p>
    <w:p>
      <w:pPr>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其次，疫情是“危”也是“机”，表演艺术的特殊属性决定了其转变生产和消费模式的变通性较低，盈利模式也主要依靠线下的演出和互动。但在互联网时代，绝不能忽视了线上运营的重要性。在此次疫情期间，我省一些剧院和演出机构利用互联网进行创利增收，取得了一定经验和效果，今后还可以进一步探索，在市场规划上</w:t>
      </w:r>
      <w:r>
        <w:rPr>
          <w:rFonts w:hint="eastAsia" w:ascii="仿宋_GB2312" w:hAnsi="仿宋_GB2312" w:eastAsia="仿宋_GB2312" w:cs="仿宋_GB2312"/>
          <w:b w:val="0"/>
          <w:bCs w:val="0"/>
          <w:sz w:val="32"/>
          <w:szCs w:val="32"/>
          <w:highlight w:val="none"/>
          <w:lang w:val="en-US" w:eastAsia="zh-CN"/>
        </w:rPr>
        <w:t>把数字文化传播作为一个发展方向，抢抓先机，充分释放数字化发展的放大、叠加、倍增效益，抢占未来发展制高点。鼓励演艺企业开展网络直播、精品录播、明星线上见面会、艺术云课堂、大V在线论坛等系列文化活动，</w:t>
      </w:r>
      <w:r>
        <w:rPr>
          <w:rFonts w:hint="eastAsia" w:ascii="仿宋_GB2312" w:hAnsi="仿宋_GB2312" w:eastAsia="仿宋_GB2312" w:cs="仿宋_GB2312"/>
          <w:sz w:val="32"/>
          <w:szCs w:val="32"/>
          <w:highlight w:val="none"/>
          <w:lang w:val="en-US" w:eastAsia="zh-CN"/>
        </w:rPr>
        <w:t>通过欣赏和教学两种主要形式拓宽线上业务，同时培育和延伸演艺文化创意产业链，真正打通线上线下运营一体化。</w:t>
      </w:r>
    </w:p>
    <w:p>
      <w:pPr>
        <w:pStyle w:val="2"/>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2、强化院线作用，整合全省剧场资源</w:t>
      </w:r>
    </w:p>
    <w:p>
      <w:pPr>
        <w:pStyle w:val="2"/>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四川大剧院为龙头，积极带领四川省剧场院线、中国西部演艺院线成员单位，以行业标准的输出为依托，以院线演出项目的实施为载体，盘活四川演艺市场，深度融合川渝两地演出市场资源，形成全域演艺联动格局，有效提升演出项目的引进与流动，提高市场消费的速度与效率，从而整体带动四川乃至西部地区演艺产业的繁荣发展。</w:t>
      </w:r>
    </w:p>
    <w:p>
      <w:pPr>
        <w:pStyle w:val="2"/>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是探索规律化演艺项目运营的“四川模式”，依托院线平台，形成全省演艺联动格局。采取试点委托管理、联合运营、租赁经营等方式，在成都平原、川南、川东北、攀西、川西北五大经济区条件成熟的地方各设1～2个分点，形成“1+5”到“1+10”直到“1+N”的规模化、集约化剧院运营体系，创建夜间文旅消费聚集区，助力四川文旅产业品牌培育。通过院线化运营，扩大演出场次规模，降低演出成本与投放价格，用既叫好又叫座、票房号召力强、性价比高的优秀项目，把底盘做大，把触角伸长，逐步改变我省剧院小、散、软的状况，改变地方剧院多形式少内容、有空间少利用、高配置低效能的现状，从根本上打破发展不平衡不充分的障碍，实现全省打通、上下对接、资源盘活、利益共享、风险分担，有效解决二、三线城市无好戏，剧场利用率不高、老百姓看精品戏少的难题。</w:t>
      </w:r>
    </w:p>
    <w:p>
      <w:pPr>
        <w:pStyle w:val="2"/>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是打造自主性品牌运营的“四川标准”，共建专业化运营、规范化管理、标准化服务体系。通过四川省剧场院线，制定《四川剧场经营管理规范》《四川营业性演出场所（剧场）资质评定标准》，探索剧场建设、管理和服务的标准化，制定出台相关制度。</w:t>
      </w:r>
    </w:p>
    <w:p>
      <w:pPr>
        <w:pStyle w:val="2"/>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3、加强精品创作引导与扶持</w:t>
      </w:r>
    </w:p>
    <w:p>
      <w:pPr>
        <w:pStyle w:val="2"/>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是要引导创作长远、可持续、良性发展。目前很多舞台艺术作品有项目投资大、回收计划达标率低、观众接受度不高、商业上座率低的问题，并不符合文艺工作节约、节俭的要求。舞台艺术不能单纯依靠政府长期输血、院团单打独斗，应通过多种形式鼓励多机制发展，支持更多演艺单位投入创作，吸引各类社会资源进行深入合作，推动集团式资源整合，才能形成强大的发展合力。我们可以看到，目前北京、上海或“演出新一线”城市众多剧院团、民营文化企业等，项目制作眼光独到、精准，拥有极强资源整合能力。我们应当拥抱不同的合作模式，让市场口碑、商业价值来证明精品项目并不全是“大装置、大场面、人数多”。</w:t>
      </w:r>
    </w:p>
    <w:p>
      <w:pPr>
        <w:pStyle w:val="2"/>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是要明确保障机制，优化创作环境。内因是根本，外因是条件。舞台艺术的良性发展，需要创作者自身的精雕细琢，同时也离不开良好的外部环境营造。四川舞台艺术创作目前已进入快速发展阶段，演出市场蕴含巨大潜力，如何利用舞台艺术讲好“中国故事、四川故事”，培养演出领域的本土高端人才，繁荣演出市场，关键在于政府要营造良好的创作环境，落实相关保障机制，充分发挥好四川艺术基金的作用，引导和激励多元创作与多机制发展；同时要依托政府平台与行业协会助力，整合各方优势资源，促进舞台艺术创作者、理论家、批评家、企业家、专业运营人才通力合作，打造一个充满激情与创造的、倡导争鸣与合作的、讲究“和而不同”的真正富有生机与活力的舞台艺术阵营，让舞台艺术创作更加良性、有序地繁荣发展。</w:t>
      </w:r>
    </w:p>
    <w:p>
      <w:pPr>
        <w:pStyle w:val="2"/>
        <w:spacing w:line="360" w:lineRule="auto"/>
        <w:ind w:firstLine="643" w:firstLineChars="200"/>
        <w:rPr>
          <w:rFonts w:hint="default"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4、从政策、资金、人才渠道帮助民营企业纾困解难</w:t>
      </w:r>
    </w:p>
    <w:p>
      <w:pPr>
        <w:pStyle w:val="2"/>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各级政府应针对民营演出企业出台系列帮扶政策，加大对民营演出场馆建设、演出设施设备改善、剧场经营管理人才与舞台舞美专业技术人才培养以及观众群体培养等方面的政策扶持与资金支持。各民营演出企业也要主动汇报沟通、主动担当作为，承接更多政府支持的惠民演出、弘扬主旋律演出及节庆活动演出。要引导民营企业积极开展形式多样的文化惠民活动，丰富群众文化生活，构建演艺市场体系；要充分利用民营企业经营灵活的特点，大力支持民营企业开发各种适应观众需求的活动，推行会员制优惠购票维护固定观众，利用“互联网＋”吸引年轻观众，培养观众对演出剧目和演出场地的关注度和忠诚度；要通过政策激励，激发民营企业的市场潜力与发展活力，培育自我“造血”功能。</w:t>
      </w:r>
    </w:p>
    <w:p>
      <w:pPr>
        <w:pStyle w:val="2"/>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5、制定四川省沉浸式演出娱乐（新业态）行业运营管理标准</w:t>
      </w:r>
    </w:p>
    <w:p>
      <w:pPr>
        <w:pStyle w:val="2"/>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为建立行业规范，推动行业自律，提升监管力度，建议通过四川省演出娱乐行业协会沉浸式演出娱乐（新业态）专业委员会搭建平台，整合会员单位资源，组织业内一流专家，编纂《四川省沉浸式演出娱乐（新业态）行业运营管理标准》，探索建立服务质量标准，打造运营管理模式，制定内容自审、内容分级、场地安全、版权保护、未成年人保护、从业人员管理等行业规范，促进我省沉浸式演出娱乐新业态市场规范、健康、高质量发展。本项目在国内尚属首创，将填补相关市场监管与行业运行空白，具有显著的创新性和立项价值，同时具有较大难度，亟需得到相关部门大力支持。  </w:t>
      </w:r>
    </w:p>
    <w:p>
      <w:pPr>
        <w:rPr>
          <w:rFonts w:ascii="华文中宋" w:hAnsi="华文中宋" w:eastAsia="华文中宋"/>
          <w:color w:val="000080"/>
          <w:sz w:val="36"/>
          <w:szCs w:val="36"/>
        </w:rPr>
      </w:pPr>
    </w:p>
    <w:p>
      <w:pPr>
        <w:pStyle w:val="17"/>
        <w:rPr>
          <w:rFonts w:ascii="华文中宋" w:hAnsi="华文中宋" w:eastAsia="华文中宋"/>
          <w:color w:val="000080"/>
          <w:sz w:val="36"/>
          <w:szCs w:val="36"/>
        </w:rPr>
      </w:pPr>
    </w:p>
    <w:p>
      <w:pPr>
        <w:rPr>
          <w:rFonts w:ascii="华文中宋" w:hAnsi="华文中宋" w:eastAsia="华文中宋"/>
          <w:color w:val="000080"/>
          <w:sz w:val="36"/>
          <w:szCs w:val="36"/>
        </w:rPr>
      </w:pPr>
    </w:p>
    <w:p>
      <w:pPr>
        <w:pStyle w:val="2"/>
        <w:rPr>
          <w:rFonts w:ascii="华文中宋" w:hAnsi="华文中宋" w:eastAsia="华文中宋"/>
          <w:color w:val="000080"/>
          <w:sz w:val="36"/>
          <w:szCs w:val="36"/>
        </w:rPr>
      </w:pPr>
    </w:p>
    <w:p>
      <w:pPr>
        <w:rPr>
          <w:rFonts w:ascii="华文中宋" w:hAnsi="华文中宋" w:eastAsia="华文中宋"/>
          <w:color w:val="000080"/>
          <w:sz w:val="36"/>
          <w:szCs w:val="36"/>
        </w:rPr>
      </w:pPr>
    </w:p>
    <w:p>
      <w:pPr>
        <w:pStyle w:val="2"/>
        <w:rPr>
          <w:rFonts w:ascii="华文中宋" w:hAnsi="华文中宋" w:eastAsia="华文中宋"/>
          <w:color w:val="000080"/>
          <w:sz w:val="36"/>
          <w:szCs w:val="36"/>
        </w:rPr>
      </w:pPr>
    </w:p>
    <w:p>
      <w:pPr>
        <w:rPr>
          <w:rFonts w:ascii="华文中宋" w:hAnsi="华文中宋" w:eastAsia="华文中宋"/>
          <w:color w:val="000080"/>
          <w:sz w:val="36"/>
          <w:szCs w:val="36"/>
        </w:rPr>
      </w:pPr>
    </w:p>
    <w:p>
      <w:pPr>
        <w:pStyle w:val="2"/>
        <w:rPr>
          <w:rFonts w:ascii="华文中宋" w:hAnsi="华文中宋" w:eastAsia="华文中宋"/>
          <w:color w:val="000080"/>
          <w:sz w:val="36"/>
          <w:szCs w:val="36"/>
        </w:rPr>
      </w:pPr>
    </w:p>
    <w:p>
      <w:pPr>
        <w:rPr>
          <w:rFonts w:ascii="华文中宋" w:hAnsi="华文中宋" w:eastAsia="华文中宋"/>
          <w:color w:val="000080"/>
          <w:sz w:val="36"/>
          <w:szCs w:val="36"/>
        </w:rPr>
      </w:pPr>
    </w:p>
    <w:p>
      <w:pPr>
        <w:pStyle w:val="2"/>
      </w:pPr>
    </w:p>
    <w:p>
      <w:pPr>
        <w:pStyle w:val="2"/>
      </w:pPr>
    </w:p>
    <w:p>
      <w:pPr>
        <w:pStyle w:val="17"/>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1219835" cy="541655"/>
            <wp:effectExtent l="0" t="0" r="18415" b="10795"/>
            <wp:docPr id="48" name="图片 48" descr="1670397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70397395(1)"/>
                    <pic:cNvPicPr>
                      <a:picLocks noChangeAspect="1"/>
                    </pic:cNvPicPr>
                  </pic:nvPicPr>
                  <pic:blipFill>
                    <a:blip r:embed="rId110"/>
                    <a:stretch>
                      <a:fillRect/>
                    </a:stretch>
                  </pic:blipFill>
                  <pic:spPr>
                    <a:xfrm>
                      <a:off x="0" y="0"/>
                      <a:ext cx="1219835" cy="541655"/>
                    </a:xfrm>
                    <a:prstGeom prst="rect">
                      <a:avLst/>
                    </a:prstGeom>
                  </pic:spPr>
                </pic:pic>
              </a:graphicData>
            </a:graphic>
          </wp:inline>
        </w:drawing>
      </w:r>
    </w:p>
    <w:p>
      <w:pPr>
        <w:rPr>
          <w:rFonts w:hint="eastAsia"/>
          <w:lang w:val="en-US" w:eastAsia="zh-CN"/>
        </w:rPr>
      </w:pP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44"/>
          <w:szCs w:val="44"/>
          <w:lang w:val="en-US" w:eastAsia="zh-CN"/>
        </w:rPr>
        <w:t>2021年四川省演出市场大事记</w:t>
      </w:r>
    </w:p>
    <w:p>
      <w:pPr>
        <w:rPr>
          <w:rFonts w:hint="eastAsia" w:ascii="仿宋_GB2312" w:hAnsi="仿宋_GB2312" w:eastAsia="仿宋_GB2312" w:cs="仿宋_GB2312"/>
          <w:sz w:val="32"/>
          <w:szCs w:val="32"/>
          <w:lang w:val="en-US" w:eastAsia="zh-CN"/>
        </w:rPr>
      </w:pPr>
    </w:p>
    <w:p>
      <w:pPr>
        <w:spacing w:line="360" w:lineRule="auto"/>
        <w:ind w:firstLine="640" w:firstLineChars="20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2021年全省文化和旅游局长会议在成都召开</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19日，2021年全省文化和旅游局长会议在成都召开，会议对“十四五”时期四川文旅发展面临的形势与总体思路进行了阐释，提出“十四五”期间，四川文化旅游发展要从着力优化全省文旅发展布局，不断开拓文旅新领域、实现新发展；着力坚定文化自信，推动文化赋能，加大高质量文化供给；着力推动旅游产品结构调整，加快旅游业转型升级；着力深化文旅融合，创新推动文化旅游高质量发展；着力处理好安全和发展关系，推进文化旅游治理体系和治理能力现代化这五个方面持续发力。</w:t>
      </w:r>
    </w:p>
    <w:p>
      <w:pPr>
        <w:rPr>
          <w:rFonts w:hint="eastAsia" w:ascii="黑体" w:hAnsi="黑体" w:eastAsia="黑体" w:cs="黑体"/>
          <w:sz w:val="32"/>
          <w:szCs w:val="32"/>
          <w:lang w:val="en-US" w:eastAsia="zh-CN"/>
        </w:rPr>
      </w:pPr>
    </w:p>
    <w:p>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文旅厅印发通知推进全省文化场所有序恢复开放</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月17日，四川省文化和旅游厅印发《关于推进全省文化场所有序恢复开放的通知》。通知明确全省剧院等演出场所接待消费者人数比例不再做统一限制；举办大型营业性演出活动，各地文化和旅游行政部门要同公安等部门加强沟通协调，根据当地疫情防控要求，适当控制人数规模；暂缓新审批涉外、涉港澳台营业性演出活动（演职人员已在境内的除外）。</w:t>
      </w:r>
    </w:p>
    <w:p>
      <w:pPr>
        <w:ind w:firstLine="640" w:firstLineChars="200"/>
        <w:rPr>
          <w:rFonts w:hint="eastAsia" w:ascii="黑体" w:hAnsi="黑体" w:eastAsia="黑体" w:cs="黑体"/>
          <w:sz w:val="32"/>
          <w:szCs w:val="32"/>
          <w:lang w:val="en-US" w:eastAsia="zh-CN"/>
        </w:rPr>
      </w:pPr>
    </w:p>
    <w:p>
      <w:pPr>
        <w:ind w:firstLine="640" w:firstLineChars="20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第一届成都戏剧节</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至11月，由中国西部演艺院线、四川省演出展览公司、南京蓝色天际文化传媒有限公司主办的2021·成都戏剧节将来自全国各地的22部经典剧目搬上成都的戏剧舞台。这是成都首次举办全国性戏剧节，完全市场化运作，共演出38场，平均上座率达到80%。</w:t>
      </w:r>
    </w:p>
    <w:p>
      <w:pPr>
        <w:ind w:firstLine="640" w:firstLineChars="200"/>
        <w:rPr>
          <w:rFonts w:hint="eastAsia" w:ascii="黑体" w:hAnsi="黑体" w:eastAsia="黑体" w:cs="黑体"/>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第一届“剧美天府”优秀剧目展演季</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5月至9月，由中共四川省委宣传部、四川省文化和旅游厅、四川省文学艺术界联合会主办的“剧美天府”回望百年路 奋进新时代——四川省庆祝中国共产党成立100周年优秀剧目展演季在成都主会场以及绵阳、南充、宜宾和凉山四个分会场同时举行。展演季以优秀舞台剧目演出为主，配套“五步沉浸式”党史教育活动、“回望百年路”图片展、“我心目中最喜爱的红色剧目”网络投票评选等十余项延伸活动，在因疫情影响减延后共38部作品开展演出累计97场，总票房582万余元，观众9.6万余人次，50余万市民参与其中，民众关注度达600余万人次，免费展览10场，直接观众近万人，网络评选投票活动点击总量1529万余次，展演季相关媒体宣传报道和话题阅读量超过84.1万，累计总覆盖2300万人次。</w:t>
      </w:r>
    </w:p>
    <w:p>
      <w:pPr>
        <w:rPr>
          <w:rFonts w:hint="eastAsia" w:ascii="仿宋_GB2312" w:hAnsi="仿宋_GB2312" w:eastAsia="仿宋_GB2312" w:cs="仿宋_GB2312"/>
          <w:sz w:val="32"/>
          <w:szCs w:val="32"/>
          <w:lang w:val="en-US" w:eastAsia="zh-CN"/>
        </w:rPr>
      </w:pP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现象级话剧《如梦之梦》在四川大剧院上演</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月18日至20日，央华版话剧《如梦之梦》在四川大剧院上演，热度空前，一票难求，吸引了逾8成的外地观众，带动了成都属地“吃住行游购娱”消费，整体拉动文化旅游交通等相关消费3亿元以上，成为现象级文化事件。</w:t>
      </w:r>
    </w:p>
    <w:p>
      <w:pPr>
        <w:ind w:firstLine="640" w:firstLineChars="200"/>
        <w:rPr>
          <w:rFonts w:hint="eastAsia" w:ascii="黑体" w:hAnsi="黑体" w:eastAsia="黑体" w:cs="黑体"/>
          <w:sz w:val="32"/>
          <w:szCs w:val="32"/>
          <w:lang w:val="en-US" w:eastAsia="zh-CN"/>
        </w:rPr>
      </w:pPr>
    </w:p>
    <w:p>
      <w:pPr>
        <w:pStyle w:val="2"/>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文旅厅出台舞台艺术专业比赛管理办法</w:t>
      </w:r>
    </w:p>
    <w:p>
      <w:pP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7月26日，四川省文化和旅游厅印发《四川省文化和旅游厅舞台艺术专业比赛管理办法（试行）》。该办法明确了由四川省文化和旅游厅举办的四川省青年川剧演员比赛、四川省戏剧小品（小戏）比赛、四川省舞蹈新作比赛、四川省曲艺杂技木偶皮影比赛等舞台艺术专业比赛的申办与赛制、申报与评选、纪律、监督、评奖细则等相关流程和规定。</w:t>
      </w:r>
    </w:p>
    <w:p>
      <w:pPr>
        <w:ind w:firstLine="640" w:firstLineChars="200"/>
        <w:rPr>
          <w:rFonts w:hint="eastAsia" w:ascii="黑体" w:hAnsi="黑体" w:eastAsia="黑体" w:cs="黑体"/>
          <w:sz w:val="32"/>
          <w:szCs w:val="32"/>
          <w:lang w:val="en-US" w:eastAsia="zh-CN"/>
        </w:rPr>
      </w:pPr>
    </w:p>
    <w:p>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四川省第五届曲艺杂技木偶皮影比赛</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8月至10月，由四川省文化和旅游厅主办，四川省锦城艺术宫承办的四川省第五届曲艺杂技木偶皮影比赛在成都举行。本届比赛首次设立“最佳人气奖”，首次增设网络评选，网络参与投票累计近30万张。</w:t>
      </w:r>
    </w:p>
    <w:p>
      <w:pPr>
        <w:pStyle w:val="2"/>
        <w:ind w:firstLine="640"/>
        <w:rPr>
          <w:rFonts w:hint="eastAsia" w:ascii="仿宋_GB2312" w:hAnsi="仿宋_GB2312" w:eastAsia="仿宋_GB2312" w:cs="仿宋_GB2312"/>
          <w:sz w:val="32"/>
          <w:szCs w:val="32"/>
          <w:lang w:val="en-US" w:eastAsia="zh-CN"/>
        </w:rPr>
      </w:pP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四川省第十八届戏剧小品小戏比赛</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至10月，由中共四川省委宣传部、四川省文化和旅游厅、自贡市人民政府主办，四川省剧目工作室、中共自贡市委宣传部、自贡市文化广播电视和旅游局承办的四川省第十八届戏剧小品（小戏）比赛在自贡市举行。经专家评委评选和全程公证，最终评选出获奖作品40个。</w:t>
      </w:r>
    </w:p>
    <w:p>
      <w:pPr>
        <w:ind w:firstLine="640"/>
        <w:rPr>
          <w:rFonts w:hint="eastAsia" w:ascii="仿宋_GB2312" w:hAnsi="仿宋_GB2312" w:eastAsia="仿宋_GB2312" w:cs="仿宋_GB2312"/>
          <w:sz w:val="32"/>
          <w:szCs w:val="32"/>
          <w:lang w:val="en-US" w:eastAsia="zh-CN"/>
        </w:rPr>
      </w:pP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2021年四川省舞蹈新作比赛</w:t>
      </w:r>
    </w:p>
    <w:p>
      <w:pPr>
        <w:pStyle w:val="2"/>
        <w:rPr>
          <w:rFonts w:hint="eastAsia" w:ascii="黑体" w:hAnsi="黑体" w:eastAsia="黑体" w:cs="黑体"/>
          <w:sz w:val="32"/>
          <w:szCs w:val="32"/>
          <w:lang w:val="en-US" w:eastAsia="zh-CN"/>
        </w:rPr>
      </w:pPr>
      <w:r>
        <w:rPr>
          <w:rFonts w:hint="eastAsia" w:ascii="仿宋_GB2312" w:hAnsi="仿宋_GB2312" w:eastAsia="仿宋_GB2312" w:cs="仿宋_GB2312"/>
          <w:kern w:val="2"/>
          <w:sz w:val="32"/>
          <w:szCs w:val="32"/>
          <w:lang w:val="en-US" w:eastAsia="zh-CN" w:bidi="ar-SA"/>
        </w:rPr>
        <w:t xml:space="preserve">    9月至10月，由四川省文化和旅游厅、南充市人民政府主办，四川省艺术研究院、南充市文化广播电视和旅游局承办的2021年四川省舞蹈新作比赛在南充举行。共有来自全省52个文艺单位、艺术院校和个人的94个作品报名参赛，63个作品1074名演员入围决赛，最终25个优秀作品脱颖而出。</w:t>
      </w:r>
    </w:p>
    <w:p>
      <w:pPr>
        <w:ind w:firstLine="640"/>
        <w:rPr>
          <w:rFonts w:hint="eastAsia" w:ascii="仿宋_GB2312" w:hAnsi="仿宋_GB2312" w:eastAsia="仿宋_GB2312" w:cs="仿宋_GB2312"/>
          <w:sz w:val="32"/>
          <w:szCs w:val="32"/>
          <w:lang w:val="en-US" w:eastAsia="zh-CN"/>
        </w:rPr>
      </w:pP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2021年“荟萃蓉城”精品剧目惠民展演暨第四届天府戏剧季</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17日，由成都市文化广电旅游局主办的2021年“荟萃蓉城”精品剧目惠民展演暨第四届天府戏剧季正式启动。为期3个月，共计开展30场线下惠民项目展演，30余人次中国戏剧梅花奖演员、80余人次国家一级演员齐聚成都，吸引线上线下共计2000万以上人次关注。</w:t>
      </w:r>
    </w:p>
    <w:p>
      <w:pPr>
        <w:rPr>
          <w:rFonts w:hint="eastAsia" w:ascii="黑体" w:hAnsi="黑体" w:eastAsia="黑体" w:cs="黑体"/>
          <w:sz w:val="32"/>
          <w:szCs w:val="32"/>
          <w:lang w:val="en-US" w:eastAsia="zh-CN"/>
        </w:rPr>
      </w:pP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第十三届中国音乐金钟奖在成都开幕</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10月16日，由中国文学艺术界联合会、中国音乐家协会主办，成都市人民政府承办的第十三届中国音乐金钟奖开幕音乐会在四川大剧院举行，标志着以“百年华诞·盛世金钟”为主题的中国音乐金钟奖正式开幕。</w:t>
      </w:r>
    </w:p>
    <w:p>
      <w:pPr>
        <w:ind w:firstLine="640"/>
        <w:rPr>
          <w:rFonts w:hint="eastAsia" w:ascii="黑体" w:hAnsi="黑体" w:eastAsia="黑体" w:cs="黑体"/>
          <w:sz w:val="32"/>
          <w:szCs w:val="32"/>
          <w:lang w:val="en-US" w:eastAsia="zh-CN"/>
        </w:rPr>
      </w:pPr>
    </w:p>
    <w:p>
      <w:pPr>
        <w:ind w:firstLine="640"/>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文旅厅印发《四川省“十四五”艺术创作规划》</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20日，四川省文化和旅游厅印发《四川省“十四五”艺术创作规划》。规划明确了重点关注现实题材、扶持革命历史题材、突出四川特色题材、抓好时政热点题材四个方面创作重点；提出了推进新时代艺术精品创作、推进巴蜀优秀艺术传承传播、加强文艺团体和场馆建设、建设高水平文艺人才队伍、构建新时代文艺评价体系五个方面主要任务。</w:t>
      </w:r>
    </w:p>
    <w:p>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p>
    <w:p>
      <w:pPr>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四川大剧院为观众提供免费核酸检测服务成为全国演出场馆首例</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10月28日至31日，四川大剧院为保障观众的观演权利和人身安全，在全国剧院中开创先河，为舞剧《朱鹮》、音乐会《多彩的旋律》的观众提供了连续四天、共计2100余人的免费核酸检测服务。</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文旅厅印发《四川省“十四五”文化和旅游发展规划》</w:t>
      </w:r>
    </w:p>
    <w:p>
      <w:pPr>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12月15日，</w:t>
      </w:r>
      <w:r>
        <w:rPr>
          <w:rFonts w:hint="eastAsia" w:ascii="仿宋_GB2312" w:hAnsi="仿宋_GB2312" w:eastAsia="仿宋_GB2312" w:cs="仿宋_GB2312"/>
          <w:sz w:val="32"/>
          <w:szCs w:val="32"/>
          <w:lang w:val="en-US" w:eastAsia="zh-CN"/>
        </w:rPr>
        <w:t>四川省文化和旅游厅印发《四川省“十四五”文化和旅游发展规划》，提出持续推动巴蜀文艺精品创作，实施四川省舞台艺术精品工程、振兴川剧和曲艺工程、少数民族艺术扶持计划、剧场建设提升工程等重点任务。</w:t>
      </w:r>
    </w:p>
    <w:p>
      <w:pPr>
        <w:ind w:firstLine="640" w:firstLineChars="200"/>
        <w:rPr>
          <w:rFonts w:hint="eastAsia" w:ascii="黑体" w:hAnsi="黑体" w:eastAsia="黑体" w:cs="黑体"/>
          <w:kern w:val="2"/>
          <w:sz w:val="32"/>
          <w:szCs w:val="32"/>
          <w:lang w:val="en-US" w:eastAsia="zh-CN" w:bidi="ar-SA"/>
        </w:rPr>
      </w:pP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成渝地•巴蜀情在希望的田野上——川渝地区大型文艺展演</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12月15日，在希望的田野上——川渝地区“庆祝中国共产党成立100周年文化进万家”大型文艺展演暨“幸福时光大舞台”启动仪式在重庆市璧山区璧泉街道幸福时光大舞台献演。来自四川、重庆两地省市县三级200余名群众与重庆歌舞团、四川省歌舞剧院等西南地区顶级专业舞蹈院团演员们同台演出。</w:t>
      </w:r>
    </w:p>
    <w:p>
      <w:pP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p>
    <w:p>
      <w:pPr>
        <w:rPr>
          <w:rFonts w:hint="default" w:ascii="黑体" w:hAnsi="黑体" w:eastAsia="黑体" w:cs="黑体"/>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r>
        <w:rPr>
          <w:rFonts w:hint="eastAsia" w:ascii="黑体" w:hAnsi="黑体" w:eastAsia="黑体" w:cs="黑体"/>
          <w:kern w:val="2"/>
          <w:sz w:val="32"/>
          <w:szCs w:val="32"/>
          <w:lang w:val="en-US" w:eastAsia="zh-CN" w:bidi="ar-SA"/>
        </w:rPr>
        <w:t xml:space="preserve"> 2021年四川文化和旅游市场融合发展推进会在成都召开</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12月17日，由四川省文化和旅游厅主办，四川省演出行业协会联合四川省非物质文化遗产保护协会、四川省旅游景区管理协会、四川省旅游饭店协会、四川省旅行社协会、四川省导游协会共同承办的“2021年四川文化和旅游市场融合发展推进会”在成都举办。通过举办此次活动，为在疫情常态化防控形势下的演艺与旅游企业开辟新市场、寻找发展新空间创造了有利条件，为推动我省演艺和旅游产业之间实现资源共享、优势互补、合作共赢搭建了交流平台。</w:t>
      </w:r>
    </w:p>
    <w:p>
      <w:pPr>
        <w:ind w:firstLine="640" w:firstLineChars="200"/>
        <w:rPr>
          <w:rFonts w:hint="eastAsia" w:ascii="黑体" w:hAnsi="黑体" w:eastAsia="黑体" w:cs="黑体"/>
          <w:kern w:val="2"/>
          <w:sz w:val="32"/>
          <w:szCs w:val="32"/>
          <w:lang w:val="en-US" w:eastAsia="zh-CN" w:bidi="ar-SA"/>
        </w:rPr>
      </w:pP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2021 第三届大凉山国际戏剧节</w:t>
      </w:r>
    </w:p>
    <w:p>
      <w:pP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12月17日，2021第三届大凉山国际戏剧节在四川省凉山州西昌市开幕。本届戏剧节有力塑造品牌，确立中华传统戏剧和民族戏剧传承创新的国潮定位，18个民族、12类专业的戏剧作品汇聚凉山， 开展了30多部剧目 60多场演出及系列活动，《只此青绿》实现西部首演，五彩云霞戏剧视频网站正式上线，世界八大戏剧节继续云端对话西昌，十九个国家的艺术机构和驻华使领馆发来贺电，5个国家的驻华使领馆官员莅临凉山。</w:t>
      </w:r>
    </w:p>
    <w:p>
      <w:pPr>
        <w:ind w:firstLine="640" w:firstLineChars="200"/>
        <w:rPr>
          <w:rFonts w:hint="eastAsia" w:ascii="黑体" w:hAnsi="黑体" w:eastAsia="黑体" w:cs="黑体"/>
          <w:kern w:val="2"/>
          <w:sz w:val="32"/>
          <w:szCs w:val="32"/>
          <w:lang w:val="en-US" w:eastAsia="zh-CN" w:bidi="ar-SA"/>
        </w:rPr>
      </w:pP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全省部分文艺院团长座谈会在成都召开</w:t>
      </w:r>
    </w:p>
    <w:p>
      <w:pPr>
        <w:rPr>
          <w:rFonts w:hint="default" w:ascii="仿宋_GB2312" w:hAnsi="仿宋_GB2312" w:eastAsia="仿宋_GB2312" w:cs="仿宋_GB2312"/>
          <w:kern w:val="2"/>
          <w:sz w:val="32"/>
          <w:szCs w:val="32"/>
          <w:lang w:val="en-US" w:eastAsia="zh-CN" w:bidi="ar-SA"/>
        </w:rPr>
      </w:pPr>
      <w:r>
        <w:rPr>
          <w:rFonts w:hint="eastAsia" w:ascii="黑体" w:hAnsi="黑体" w:eastAsia="黑体" w:cs="黑体"/>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12月23日，由四川省文化和旅游厅组织的全省部分文艺院团长座谈会在成都召开，会议听取了民营文艺院团工作情况介绍，围绕民营文艺院团当前面临的困境及解决措施等进行互动交流、讨论和答疑。</w:t>
      </w:r>
    </w:p>
    <w:p>
      <w:pPr>
        <w:rPr>
          <w:rFonts w:hint="eastAsia" w:ascii="仿宋_GB2312" w:hAnsi="仿宋_GB2312" w:eastAsia="仿宋_GB2312" w:cs="仿宋_GB2312"/>
          <w:kern w:val="2"/>
          <w:sz w:val="32"/>
          <w:szCs w:val="32"/>
          <w:lang w:val="en-US" w:eastAsia="zh-CN" w:bidi="ar-SA"/>
        </w:rPr>
      </w:pPr>
    </w:p>
    <w:p>
      <w:pPr>
        <w:ind w:firstLine="640" w:firstLineChars="200"/>
        <w:rPr>
          <w:rFonts w:hint="eastAsia" w:ascii="黑体" w:hAnsi="黑体" w:eastAsia="黑体" w:cs="黑体"/>
          <w:kern w:val="2"/>
          <w:sz w:val="32"/>
          <w:szCs w:val="32"/>
          <w:lang w:val="en-US" w:eastAsia="zh-CN" w:bidi="ar-SA"/>
        </w:rPr>
      </w:pP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文旅厅发布《四川省戏曲名家工作室管理办法》</w:t>
      </w:r>
    </w:p>
    <w:p>
      <w:pPr>
        <w:pStyle w:val="2"/>
        <w:ind w:firstLine="640" w:firstLineChars="200"/>
        <w:rPr>
          <w:rFonts w:hint="eastAsia" w:ascii="仿宋_GB2312" w:hAnsi="仿宋_GB2312" w:eastAsia="仿宋_GB2312" w:cs="仿宋_GB2312"/>
          <w:b/>
          <w:bCs/>
          <w:i w:val="0"/>
          <w:iCs w:val="0"/>
          <w:sz w:val="32"/>
          <w:szCs w:val="32"/>
          <w:lang w:val="en-US" w:eastAsia="zh-CN"/>
        </w:rPr>
      </w:pPr>
      <w:r>
        <w:rPr>
          <w:rFonts w:hint="eastAsia" w:ascii="仿宋_GB2312" w:hAnsi="仿宋_GB2312" w:eastAsia="仿宋_GB2312" w:cs="仿宋_GB2312"/>
          <w:kern w:val="2"/>
          <w:sz w:val="32"/>
          <w:szCs w:val="32"/>
          <w:lang w:val="en-US" w:eastAsia="zh-CN" w:bidi="ar-SA"/>
        </w:rPr>
        <w:t>12月31日，四川省文化和旅游厅发布《四川省戏曲名家工作室管理办法》。该办法明确了戏曲名家工作室的申报评审、实施管理、考核监督等内容，对戏曲名家工作室的基本条件、职能职责、评估考核、结项验收等作出具体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_GB2312" w:hAnsi="仿宋_GB2312" w:eastAsia="仿宋_GB2312" w:cs="仿宋_GB2312"/>
          <w:b w:val="0"/>
          <w:bCs w:val="0"/>
          <w:i w:val="0"/>
          <w:iCs w:val="0"/>
          <w:sz w:val="32"/>
          <w:szCs w:val="32"/>
          <w:lang w:val="en-US" w:eastAsia="zh-CN"/>
        </w:rPr>
      </w:pPr>
    </w:p>
    <w:p>
      <w:pPr>
        <w:ind w:firstLine="420"/>
        <w:rPr>
          <w:rFonts w:hint="eastAsia" w:ascii="仿宋_GB2312" w:hAnsi="仿宋_GB2312" w:eastAsia="仿宋_GB2312" w:cs="仿宋_GB2312"/>
          <w:b w:val="0"/>
          <w:bCs w:val="0"/>
          <w:i w:val="0"/>
          <w:iCs w:val="0"/>
          <w:sz w:val="32"/>
          <w:szCs w:val="32"/>
          <w:lang w:val="en-US" w:eastAsia="zh-CN"/>
        </w:rPr>
      </w:pPr>
    </w:p>
    <w:p>
      <w:pPr>
        <w:keepNext w:val="0"/>
        <w:keepLines w:val="0"/>
        <w:widowControl/>
        <w:suppressLineNumbers w:val="0"/>
        <w:jc w:val="both"/>
        <w:rPr>
          <w:rFonts w:hint="eastAsia" w:ascii="仿宋_GB2312" w:hAnsi="仿宋_GB2312" w:eastAsia="仿宋_GB2312" w:cs="仿宋_GB2312"/>
          <w:color w:val="auto"/>
          <w:kern w:val="0"/>
          <w:sz w:val="32"/>
          <w:szCs w:val="32"/>
          <w:lang w:val="en-US" w:eastAsia="zh-CN" w:bidi="ar"/>
        </w:rPr>
      </w:pPr>
    </w:p>
    <w:p>
      <w:pPr>
        <w:numPr>
          <w:ilvl w:val="0"/>
          <w:numId w:val="0"/>
        </w:numPr>
        <w:rPr>
          <w:rFonts w:hint="eastAsia" w:ascii="仿宋_GB2312" w:hAnsi="仿宋_GB2312" w:eastAsia="仿宋_GB2312" w:cs="仿宋_GB2312"/>
          <w:b w:val="0"/>
          <w:bCs w:val="0"/>
          <w:i w:val="0"/>
          <w:iCs w:val="0"/>
          <w:sz w:val="32"/>
          <w:szCs w:val="32"/>
          <w:lang w:val="en-US" w:eastAsia="zh-CN"/>
        </w:rPr>
      </w:pPr>
    </w:p>
    <w:p>
      <w:pPr>
        <w:pStyle w:val="2"/>
        <w:numPr>
          <w:ilvl w:val="0"/>
          <w:numId w:val="0"/>
        </w:numPr>
        <w:rPr>
          <w:rFonts w:hint="eastAsia" w:ascii="仿宋_GB2312" w:hAnsi="仿宋_GB2312" w:eastAsia="仿宋_GB2312" w:cs="仿宋_GB2312"/>
          <w:sz w:val="32"/>
          <w:szCs w:val="32"/>
          <w:lang w:eastAsia="zh-CN"/>
        </w:rPr>
      </w:pPr>
    </w:p>
    <w:p>
      <w:pPr>
        <w:numPr>
          <w:ilvl w:val="0"/>
          <w:numId w:val="0"/>
        </w:numPr>
        <w:rPr>
          <w:rFonts w:hint="eastAsia"/>
          <w:b/>
          <w:bCs/>
          <w:color w:val="auto"/>
          <w:sz w:val="21"/>
          <w:szCs w:val="21"/>
        </w:rPr>
      </w:pPr>
    </w:p>
    <w:p/>
    <w:sectPr>
      <w:headerReference r:id="rId6" w:type="default"/>
      <w:footerReference r:id="rId7"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EF" w:usb1="C0007841" w:usb2="00000009" w:usb3="00000000" w:csb0="400001FF" w:csb1="FFFF0000"/>
    <w:embedRegular r:id="rId1" w:fontKey="{5B7FAE41-C859-7267-641E-6F65232B7AE1}"/>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Times">
    <w:panose1 w:val="00000500000000020000"/>
    <w:charset w:val="00"/>
    <w:family w:val="auto"/>
    <w:pitch w:val="default"/>
    <w:sig w:usb0="E00002FF" w:usb1="5000205A" w:usb2="00000000" w:usb3="00000000" w:csb0="2000019F" w:csb1="4F010000"/>
  </w:font>
  <w:font w:name="仿宋_GB2312">
    <w:altName w:val="方正仿宋_GBK"/>
    <w:panose1 w:val="02010609030101010101"/>
    <w:charset w:val="86"/>
    <w:family w:val="modern"/>
    <w:pitch w:val="default"/>
    <w:sig w:usb0="00000000" w:usb1="00000000" w:usb2="00000000" w:usb3="00000000" w:csb0="00040000" w:csb1="00000000"/>
  </w:font>
  <w:font w:name="微软雅黑">
    <w:altName w:val="汉仪旗黑"/>
    <w:panose1 w:val="020B0503020204020204"/>
    <w:charset w:val="86"/>
    <w:family w:val="swiss"/>
    <w:pitch w:val="default"/>
    <w:sig w:usb0="00000000" w:usb1="00000000" w:usb2="00000016" w:usb3="00000000" w:csb0="0004001F" w:csb1="00000000"/>
  </w:font>
  <w:font w:name="Impact">
    <w:panose1 w:val="020B0806030902050204"/>
    <w:charset w:val="00"/>
    <w:family w:val="swiss"/>
    <w:pitch w:val="default"/>
    <w:sig w:usb0="00000287" w:usb1="00000000" w:usb2="00000000" w:usb3="00000000" w:csb0="2000009F" w:csb1="DFD70000"/>
    <w:embedRegular r:id="rId2" w:fontKey="{0BA6FFD8-67C3-BA87-641E-6F65CD18D4D4}"/>
  </w:font>
  <w:font w:name="方正小标宋简体">
    <w:altName w:val="汉仪书宋二KW"/>
    <w:panose1 w:val="02010601030101010101"/>
    <w:charset w:val="86"/>
    <w:family w:val="auto"/>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华文中宋">
    <w:altName w:val="汉仪书宋二KW"/>
    <w:panose1 w:val="02010600040101010101"/>
    <w:charset w:val="86"/>
    <w:family w:val="auto"/>
    <w:pitch w:val="default"/>
    <w:sig w:usb0="00000000" w:usb1="00000000" w:usb2="00000010" w:usb3="00000000" w:csb0="0004009F" w:csb1="00000000"/>
  </w:font>
  <w:font w:name="方正仿宋_GB2312">
    <w:panose1 w:val="02000000000000000000"/>
    <w:charset w:val="86"/>
    <w:family w:val="auto"/>
    <w:pitch w:val="default"/>
    <w:sig w:usb0="A00002BF" w:usb1="184F6CFA" w:usb2="00000012" w:usb3="00000000" w:csb0="00040001" w:csb1="00000000"/>
    <w:embedRegular r:id="rId3" w:fontKey="{3EBC5B7D-F692-A860-641E-6F65F81849D2}"/>
  </w:font>
  <w:font w:name="楷体">
    <w:altName w:val="汉仪楷体KW"/>
    <w:panose1 w:val="02010609060101010101"/>
    <w:charset w:val="86"/>
    <w:family w:val="auto"/>
    <w:pitch w:val="default"/>
    <w:sig w:usb0="00000000" w:usb1="00000000" w:usb2="00000016" w:usb3="00000000" w:csb0="00040001" w:csb1="00000000"/>
  </w:font>
  <w:font w:name="Calibri Light">
    <w:altName w:val="Helvetica Neue"/>
    <w:panose1 w:val="020F0302020204030204"/>
    <w:charset w:val="00"/>
    <w:family w:val="auto"/>
    <w:pitch w:val="default"/>
    <w:sig w:usb0="00000000" w:usb1="00000000" w:usb2="00000009" w:usb3="00000000" w:csb0="200001FF" w:csb1="00000000"/>
  </w:font>
  <w:font w:name="微软雅黑 Light">
    <w:altName w:val="汉仪中黑KW"/>
    <w:panose1 w:val="020B0502040204020203"/>
    <w:charset w:val="86"/>
    <w:family w:val="swiss"/>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 w:name="汉仪楷体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pNYMMwIAAGMEAAAOAAAAZHJz&#10;L2Uyb0RvYy54bWytVM2O0zAQviPxDpbvNG3Rrq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PpNYMMwIAAGMEAAAOAAAAAAAAAAEAIAAA&#10;ADUBAABkcnMvZTJvRG9jLnhtbFBLBQYAAAAABgAGAFkBAADa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Wh/nMgIAAGM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AhaH+cyAgAAYwQAAA4AAAAAAAAAAQAgAAAA&#10;NQEAAGRycy9lMm9Eb2MueG1sUEsFBgAAAAAGAAYAWQEAANk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footnote>
  <w:footnote w:type="continuationSeparator" w:id="3">
    <w:p/>
  </w:footnote>
  <w:footnote w:id="0">
    <w:p>
      <w:pPr>
        <w:pStyle w:val="10"/>
        <w:rPr>
          <w:rFonts w:hint="eastAsi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DDF906"/>
    <w:multiLevelType w:val="singleLevel"/>
    <w:tmpl w:val="A7DDF906"/>
    <w:lvl w:ilvl="0" w:tentative="0">
      <w:start w:val="1"/>
      <w:numFmt w:val="decimal"/>
      <w:suff w:val="space"/>
      <w:lvlText w:val="%1."/>
      <w:lvlJc w:val="left"/>
    </w:lvl>
  </w:abstractNum>
  <w:abstractNum w:abstractNumId="1">
    <w:nsid w:val="B26D9F9F"/>
    <w:multiLevelType w:val="singleLevel"/>
    <w:tmpl w:val="B26D9F9F"/>
    <w:lvl w:ilvl="0" w:tentative="0">
      <w:start w:val="1"/>
      <w:numFmt w:val="decimal"/>
      <w:suff w:val="space"/>
      <w:lvlText w:val="%1."/>
      <w:lvlJc w:val="left"/>
    </w:lvl>
  </w:abstractNum>
  <w:abstractNum w:abstractNumId="2">
    <w:nsid w:val="B99320F0"/>
    <w:multiLevelType w:val="singleLevel"/>
    <w:tmpl w:val="B99320F0"/>
    <w:lvl w:ilvl="0" w:tentative="0">
      <w:start w:val="1"/>
      <w:numFmt w:val="decimal"/>
      <w:suff w:val="space"/>
      <w:lvlText w:val="%1."/>
      <w:lvlJc w:val="left"/>
    </w:lvl>
  </w:abstractNum>
  <w:abstractNum w:abstractNumId="3">
    <w:nsid w:val="C1B141EE"/>
    <w:multiLevelType w:val="singleLevel"/>
    <w:tmpl w:val="C1B141EE"/>
    <w:lvl w:ilvl="0" w:tentative="0">
      <w:start w:val="1"/>
      <w:numFmt w:val="decimal"/>
      <w:suff w:val="space"/>
      <w:lvlText w:val="%1."/>
      <w:lvlJc w:val="left"/>
    </w:lvl>
  </w:abstractNum>
  <w:abstractNum w:abstractNumId="4">
    <w:nsid w:val="DD7F0B75"/>
    <w:multiLevelType w:val="singleLevel"/>
    <w:tmpl w:val="DD7F0B75"/>
    <w:lvl w:ilvl="0" w:tentative="0">
      <w:start w:val="1"/>
      <w:numFmt w:val="decimal"/>
      <w:suff w:val="space"/>
      <w:lvlText w:val="%1."/>
      <w:lvlJc w:val="left"/>
    </w:lvl>
  </w:abstractNum>
  <w:abstractNum w:abstractNumId="5">
    <w:nsid w:val="E3A88156"/>
    <w:multiLevelType w:val="singleLevel"/>
    <w:tmpl w:val="E3A88156"/>
    <w:lvl w:ilvl="0" w:tentative="0">
      <w:start w:val="1"/>
      <w:numFmt w:val="decimal"/>
      <w:suff w:val="space"/>
      <w:lvlText w:val="%1."/>
      <w:lvlJc w:val="left"/>
    </w:lvl>
  </w:abstractNum>
  <w:abstractNum w:abstractNumId="6">
    <w:nsid w:val="E8C309D7"/>
    <w:multiLevelType w:val="singleLevel"/>
    <w:tmpl w:val="E8C309D7"/>
    <w:lvl w:ilvl="0" w:tentative="0">
      <w:start w:val="1"/>
      <w:numFmt w:val="chineseCounting"/>
      <w:suff w:val="nothing"/>
      <w:lvlText w:val="%1、"/>
      <w:lvlJc w:val="left"/>
      <w:rPr>
        <w:rFonts w:hint="eastAsia"/>
      </w:rPr>
    </w:lvl>
  </w:abstractNum>
  <w:abstractNum w:abstractNumId="7">
    <w:nsid w:val="EA5FF555"/>
    <w:multiLevelType w:val="singleLevel"/>
    <w:tmpl w:val="EA5FF555"/>
    <w:lvl w:ilvl="0" w:tentative="0">
      <w:start w:val="1"/>
      <w:numFmt w:val="decimal"/>
      <w:suff w:val="space"/>
      <w:lvlText w:val="%1."/>
      <w:lvlJc w:val="left"/>
    </w:lvl>
  </w:abstractNum>
  <w:abstractNum w:abstractNumId="8">
    <w:nsid w:val="2A5C649E"/>
    <w:multiLevelType w:val="singleLevel"/>
    <w:tmpl w:val="2A5C649E"/>
    <w:lvl w:ilvl="0" w:tentative="0">
      <w:start w:val="1"/>
      <w:numFmt w:val="decimal"/>
      <w:suff w:val="space"/>
      <w:lvlText w:val="%1."/>
      <w:lvlJc w:val="left"/>
    </w:lvl>
  </w:abstractNum>
  <w:num w:numId="1">
    <w:abstractNumId w:val="6"/>
  </w:num>
  <w:num w:numId="2">
    <w:abstractNumId w:val="7"/>
  </w:num>
  <w:num w:numId="3">
    <w:abstractNumId w:val="1"/>
  </w:num>
  <w:num w:numId="4">
    <w:abstractNumId w:val="2"/>
  </w:num>
  <w:num w:numId="5">
    <w:abstractNumId w:val="8"/>
  </w:num>
  <w:num w:numId="6">
    <w:abstractNumId w:val="0"/>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kZGJmZWI1ZTNjYWFiZmM0ZjI2N2Y3MDE2MWQ1M2YifQ=="/>
  </w:docVars>
  <w:rsids>
    <w:rsidRoot w:val="52B7284F"/>
    <w:rsid w:val="00443541"/>
    <w:rsid w:val="007C2CDB"/>
    <w:rsid w:val="009C15CF"/>
    <w:rsid w:val="00B52F97"/>
    <w:rsid w:val="00C603FA"/>
    <w:rsid w:val="00D125C5"/>
    <w:rsid w:val="0112363F"/>
    <w:rsid w:val="013B4944"/>
    <w:rsid w:val="018E2466"/>
    <w:rsid w:val="01DA23AF"/>
    <w:rsid w:val="02441F1E"/>
    <w:rsid w:val="02931EC3"/>
    <w:rsid w:val="02B524D4"/>
    <w:rsid w:val="02BA21E0"/>
    <w:rsid w:val="02F27E93"/>
    <w:rsid w:val="030B1057"/>
    <w:rsid w:val="03305FFE"/>
    <w:rsid w:val="034E68CB"/>
    <w:rsid w:val="03C926DB"/>
    <w:rsid w:val="03D270B5"/>
    <w:rsid w:val="04730898"/>
    <w:rsid w:val="04B862AB"/>
    <w:rsid w:val="05091D29"/>
    <w:rsid w:val="051A0D14"/>
    <w:rsid w:val="055139D7"/>
    <w:rsid w:val="05AC22B4"/>
    <w:rsid w:val="05AF76AE"/>
    <w:rsid w:val="05D13BD9"/>
    <w:rsid w:val="05D9472B"/>
    <w:rsid w:val="060A140F"/>
    <w:rsid w:val="06542428"/>
    <w:rsid w:val="06AE7966"/>
    <w:rsid w:val="06B50CF4"/>
    <w:rsid w:val="06BD229F"/>
    <w:rsid w:val="06DE46EF"/>
    <w:rsid w:val="078F1038"/>
    <w:rsid w:val="078F7DFB"/>
    <w:rsid w:val="07E37AE3"/>
    <w:rsid w:val="08153C1F"/>
    <w:rsid w:val="081B54CF"/>
    <w:rsid w:val="08273E74"/>
    <w:rsid w:val="08381BDD"/>
    <w:rsid w:val="08955281"/>
    <w:rsid w:val="092945F4"/>
    <w:rsid w:val="099D2DC6"/>
    <w:rsid w:val="09D96A7B"/>
    <w:rsid w:val="0A173A74"/>
    <w:rsid w:val="0A307BEE"/>
    <w:rsid w:val="0A5F3D8A"/>
    <w:rsid w:val="0A6842D0"/>
    <w:rsid w:val="0AA123A6"/>
    <w:rsid w:val="0AB50447"/>
    <w:rsid w:val="0B4E7969"/>
    <w:rsid w:val="0B927856"/>
    <w:rsid w:val="0B9F3D21"/>
    <w:rsid w:val="0BC33EB3"/>
    <w:rsid w:val="0BC419DA"/>
    <w:rsid w:val="0BC8586D"/>
    <w:rsid w:val="0BD65A7C"/>
    <w:rsid w:val="0BDC640E"/>
    <w:rsid w:val="0C91347E"/>
    <w:rsid w:val="0C9F6E57"/>
    <w:rsid w:val="0CAD19C3"/>
    <w:rsid w:val="0CBD2FDA"/>
    <w:rsid w:val="0D5C1B29"/>
    <w:rsid w:val="0D701E19"/>
    <w:rsid w:val="0D7F5684"/>
    <w:rsid w:val="0DA46163"/>
    <w:rsid w:val="0DE3083D"/>
    <w:rsid w:val="0E06277D"/>
    <w:rsid w:val="0E1E1875"/>
    <w:rsid w:val="0ED06901"/>
    <w:rsid w:val="0EF54ED7"/>
    <w:rsid w:val="0EFA4090"/>
    <w:rsid w:val="0F0F5662"/>
    <w:rsid w:val="101A42BE"/>
    <w:rsid w:val="10635C65"/>
    <w:rsid w:val="106B1EF6"/>
    <w:rsid w:val="108C51BC"/>
    <w:rsid w:val="10E93242"/>
    <w:rsid w:val="12490E8B"/>
    <w:rsid w:val="12631F4C"/>
    <w:rsid w:val="128F5369"/>
    <w:rsid w:val="12CA5B28"/>
    <w:rsid w:val="12D544CC"/>
    <w:rsid w:val="12FE7EC7"/>
    <w:rsid w:val="133B07D3"/>
    <w:rsid w:val="13474B62"/>
    <w:rsid w:val="13665E1A"/>
    <w:rsid w:val="13D65F26"/>
    <w:rsid w:val="141F1EA3"/>
    <w:rsid w:val="14522278"/>
    <w:rsid w:val="14626D6D"/>
    <w:rsid w:val="14B24AC5"/>
    <w:rsid w:val="1505553D"/>
    <w:rsid w:val="1542409B"/>
    <w:rsid w:val="15604521"/>
    <w:rsid w:val="156F09D1"/>
    <w:rsid w:val="15D13671"/>
    <w:rsid w:val="16417BD4"/>
    <w:rsid w:val="16A6665A"/>
    <w:rsid w:val="16FA2753"/>
    <w:rsid w:val="174F6F43"/>
    <w:rsid w:val="17D336D0"/>
    <w:rsid w:val="185A16FC"/>
    <w:rsid w:val="185C36C6"/>
    <w:rsid w:val="18AF5EEB"/>
    <w:rsid w:val="18B161AC"/>
    <w:rsid w:val="18B352B0"/>
    <w:rsid w:val="18CB43A7"/>
    <w:rsid w:val="18DE057F"/>
    <w:rsid w:val="18E055CE"/>
    <w:rsid w:val="194303E2"/>
    <w:rsid w:val="197143E2"/>
    <w:rsid w:val="19D65B33"/>
    <w:rsid w:val="19FE1BFF"/>
    <w:rsid w:val="1A0C348B"/>
    <w:rsid w:val="1A32302A"/>
    <w:rsid w:val="1A56487D"/>
    <w:rsid w:val="1AF160CB"/>
    <w:rsid w:val="1B7C4DD9"/>
    <w:rsid w:val="1B9F3C67"/>
    <w:rsid w:val="1C3D55BC"/>
    <w:rsid w:val="1C7A236C"/>
    <w:rsid w:val="1C8256C5"/>
    <w:rsid w:val="1C894F00"/>
    <w:rsid w:val="1CCB2BC8"/>
    <w:rsid w:val="1CD203FA"/>
    <w:rsid w:val="1CEC0D90"/>
    <w:rsid w:val="1D036806"/>
    <w:rsid w:val="1D750D86"/>
    <w:rsid w:val="1DDB508D"/>
    <w:rsid w:val="1DFB7D79"/>
    <w:rsid w:val="1E2F29B6"/>
    <w:rsid w:val="1E7A7FD9"/>
    <w:rsid w:val="1EC17AE6"/>
    <w:rsid w:val="1EC56A70"/>
    <w:rsid w:val="1F1B2CC6"/>
    <w:rsid w:val="1F351C7C"/>
    <w:rsid w:val="1FA32A78"/>
    <w:rsid w:val="1FD955FC"/>
    <w:rsid w:val="201E74B3"/>
    <w:rsid w:val="202C6073"/>
    <w:rsid w:val="20827A42"/>
    <w:rsid w:val="20DF4E94"/>
    <w:rsid w:val="20ED726E"/>
    <w:rsid w:val="2108598F"/>
    <w:rsid w:val="21BF70CA"/>
    <w:rsid w:val="21F52EEB"/>
    <w:rsid w:val="2239092A"/>
    <w:rsid w:val="22415B85"/>
    <w:rsid w:val="225418B2"/>
    <w:rsid w:val="22573150"/>
    <w:rsid w:val="22714212"/>
    <w:rsid w:val="228B1B14"/>
    <w:rsid w:val="23016DB6"/>
    <w:rsid w:val="24596D0B"/>
    <w:rsid w:val="2465171D"/>
    <w:rsid w:val="248875F1"/>
    <w:rsid w:val="248E5C95"/>
    <w:rsid w:val="24A476F8"/>
    <w:rsid w:val="24A53094"/>
    <w:rsid w:val="24AF2DCF"/>
    <w:rsid w:val="251A293E"/>
    <w:rsid w:val="255D6CCF"/>
    <w:rsid w:val="2580476C"/>
    <w:rsid w:val="260F6E30"/>
    <w:rsid w:val="26325A66"/>
    <w:rsid w:val="264E29E7"/>
    <w:rsid w:val="26547954"/>
    <w:rsid w:val="265956E8"/>
    <w:rsid w:val="26A34BB6"/>
    <w:rsid w:val="273442D9"/>
    <w:rsid w:val="27377C59"/>
    <w:rsid w:val="273863F6"/>
    <w:rsid w:val="27475541"/>
    <w:rsid w:val="277B02A7"/>
    <w:rsid w:val="279A07BE"/>
    <w:rsid w:val="27A209C9"/>
    <w:rsid w:val="284101E2"/>
    <w:rsid w:val="28795BCE"/>
    <w:rsid w:val="290A0F1C"/>
    <w:rsid w:val="297F422E"/>
    <w:rsid w:val="29AD2D07"/>
    <w:rsid w:val="29B26D29"/>
    <w:rsid w:val="29C90220"/>
    <w:rsid w:val="2A783C63"/>
    <w:rsid w:val="2A7C19A5"/>
    <w:rsid w:val="2A900FAD"/>
    <w:rsid w:val="2AA35184"/>
    <w:rsid w:val="2B0A0D5F"/>
    <w:rsid w:val="2B1A3CE3"/>
    <w:rsid w:val="2B1A4D1A"/>
    <w:rsid w:val="2C484235"/>
    <w:rsid w:val="2CCD64E8"/>
    <w:rsid w:val="2D1C2FCC"/>
    <w:rsid w:val="2D3C366E"/>
    <w:rsid w:val="2D4E5BFC"/>
    <w:rsid w:val="2E165C6D"/>
    <w:rsid w:val="2E7A26A0"/>
    <w:rsid w:val="2E975000"/>
    <w:rsid w:val="2ED27DE6"/>
    <w:rsid w:val="2EDA313F"/>
    <w:rsid w:val="2F093E7D"/>
    <w:rsid w:val="2F3621B9"/>
    <w:rsid w:val="2FCB1ED7"/>
    <w:rsid w:val="2FD162F0"/>
    <w:rsid w:val="2FF87D20"/>
    <w:rsid w:val="300A35B0"/>
    <w:rsid w:val="302B2C1A"/>
    <w:rsid w:val="30403475"/>
    <w:rsid w:val="3040577F"/>
    <w:rsid w:val="30642EBA"/>
    <w:rsid w:val="309442B3"/>
    <w:rsid w:val="30B7350A"/>
    <w:rsid w:val="318E0E52"/>
    <w:rsid w:val="31EE13DB"/>
    <w:rsid w:val="31FB60B6"/>
    <w:rsid w:val="324B4A69"/>
    <w:rsid w:val="324F3458"/>
    <w:rsid w:val="32543208"/>
    <w:rsid w:val="32933F66"/>
    <w:rsid w:val="32C74D51"/>
    <w:rsid w:val="32D92CBC"/>
    <w:rsid w:val="33380434"/>
    <w:rsid w:val="3344327C"/>
    <w:rsid w:val="33727DEA"/>
    <w:rsid w:val="339033BF"/>
    <w:rsid w:val="33955033"/>
    <w:rsid w:val="33D04B10"/>
    <w:rsid w:val="341744ED"/>
    <w:rsid w:val="3428494C"/>
    <w:rsid w:val="34384B8F"/>
    <w:rsid w:val="34B05393"/>
    <w:rsid w:val="34E22D4D"/>
    <w:rsid w:val="3542559A"/>
    <w:rsid w:val="35B060B2"/>
    <w:rsid w:val="35C80866"/>
    <w:rsid w:val="364F26A6"/>
    <w:rsid w:val="3657397F"/>
    <w:rsid w:val="3660248A"/>
    <w:rsid w:val="37776B7B"/>
    <w:rsid w:val="37D270A9"/>
    <w:rsid w:val="37E90DFF"/>
    <w:rsid w:val="37FF7772"/>
    <w:rsid w:val="384B0C09"/>
    <w:rsid w:val="38B8540A"/>
    <w:rsid w:val="38C20ECB"/>
    <w:rsid w:val="39ED01CA"/>
    <w:rsid w:val="39EF0CA0"/>
    <w:rsid w:val="3A461688"/>
    <w:rsid w:val="3B251BE5"/>
    <w:rsid w:val="3B651FE2"/>
    <w:rsid w:val="3B7F1F51"/>
    <w:rsid w:val="3B894744"/>
    <w:rsid w:val="3B9C1EA7"/>
    <w:rsid w:val="3BC27434"/>
    <w:rsid w:val="3BEB0739"/>
    <w:rsid w:val="3C3C37CE"/>
    <w:rsid w:val="3D05582A"/>
    <w:rsid w:val="3D193084"/>
    <w:rsid w:val="3D913562"/>
    <w:rsid w:val="3D995F73"/>
    <w:rsid w:val="3DE853D9"/>
    <w:rsid w:val="3E1201FF"/>
    <w:rsid w:val="3E7A3BC7"/>
    <w:rsid w:val="3EC967DD"/>
    <w:rsid w:val="3EDD3357"/>
    <w:rsid w:val="3F035D9A"/>
    <w:rsid w:val="3F055FB6"/>
    <w:rsid w:val="3F275F2C"/>
    <w:rsid w:val="3F480BD3"/>
    <w:rsid w:val="3FF43934"/>
    <w:rsid w:val="3FF7357F"/>
    <w:rsid w:val="3FF74A3C"/>
    <w:rsid w:val="402D7572"/>
    <w:rsid w:val="404B17A6"/>
    <w:rsid w:val="40AA0BC3"/>
    <w:rsid w:val="40CB718C"/>
    <w:rsid w:val="40FB7670"/>
    <w:rsid w:val="418C02C8"/>
    <w:rsid w:val="42045BDC"/>
    <w:rsid w:val="42976F25"/>
    <w:rsid w:val="42FD29F4"/>
    <w:rsid w:val="430347D0"/>
    <w:rsid w:val="4320516C"/>
    <w:rsid w:val="432A7D99"/>
    <w:rsid w:val="437454B8"/>
    <w:rsid w:val="43BF3501"/>
    <w:rsid w:val="44250560"/>
    <w:rsid w:val="443A04B0"/>
    <w:rsid w:val="4469669F"/>
    <w:rsid w:val="4484797D"/>
    <w:rsid w:val="44967428"/>
    <w:rsid w:val="44C2131A"/>
    <w:rsid w:val="44E2459E"/>
    <w:rsid w:val="4553673B"/>
    <w:rsid w:val="457E6957"/>
    <w:rsid w:val="4622744D"/>
    <w:rsid w:val="46446CB8"/>
    <w:rsid w:val="46560EA5"/>
    <w:rsid w:val="4665733A"/>
    <w:rsid w:val="469D4D26"/>
    <w:rsid w:val="469E5923"/>
    <w:rsid w:val="46B26517"/>
    <w:rsid w:val="46F81F5C"/>
    <w:rsid w:val="47023AAB"/>
    <w:rsid w:val="472C640A"/>
    <w:rsid w:val="47C7611D"/>
    <w:rsid w:val="47CE7000"/>
    <w:rsid w:val="483D5387"/>
    <w:rsid w:val="48C06AA9"/>
    <w:rsid w:val="48C22822"/>
    <w:rsid w:val="48DD2F81"/>
    <w:rsid w:val="48EE3617"/>
    <w:rsid w:val="49022BB4"/>
    <w:rsid w:val="490948F4"/>
    <w:rsid w:val="492C560F"/>
    <w:rsid w:val="49496781"/>
    <w:rsid w:val="494E592A"/>
    <w:rsid w:val="496833C9"/>
    <w:rsid w:val="49BB5BEF"/>
    <w:rsid w:val="49BF4D07"/>
    <w:rsid w:val="49D03A26"/>
    <w:rsid w:val="4A3E5330"/>
    <w:rsid w:val="4A535641"/>
    <w:rsid w:val="4A6534B0"/>
    <w:rsid w:val="4B1670AE"/>
    <w:rsid w:val="4BEA1840"/>
    <w:rsid w:val="4C312198"/>
    <w:rsid w:val="4C4A1A57"/>
    <w:rsid w:val="4CB67BC0"/>
    <w:rsid w:val="4CCB5BF0"/>
    <w:rsid w:val="4CD174D7"/>
    <w:rsid w:val="4CDD3AD5"/>
    <w:rsid w:val="4D421890"/>
    <w:rsid w:val="4D6640C3"/>
    <w:rsid w:val="4D907392"/>
    <w:rsid w:val="4DAC1D64"/>
    <w:rsid w:val="4DB7438A"/>
    <w:rsid w:val="4DD21759"/>
    <w:rsid w:val="4E2732C6"/>
    <w:rsid w:val="4E3836B9"/>
    <w:rsid w:val="4E9609D8"/>
    <w:rsid w:val="4EE554BC"/>
    <w:rsid w:val="4F17215B"/>
    <w:rsid w:val="4F1B5E99"/>
    <w:rsid w:val="4F594A4D"/>
    <w:rsid w:val="4F815C1D"/>
    <w:rsid w:val="4FB82BD0"/>
    <w:rsid w:val="4FE80ACB"/>
    <w:rsid w:val="4FF359B6"/>
    <w:rsid w:val="500656EA"/>
    <w:rsid w:val="503E1327"/>
    <w:rsid w:val="50834F8C"/>
    <w:rsid w:val="50B25281"/>
    <w:rsid w:val="51363DAD"/>
    <w:rsid w:val="51457D44"/>
    <w:rsid w:val="517D757C"/>
    <w:rsid w:val="51CD640B"/>
    <w:rsid w:val="521C4DB0"/>
    <w:rsid w:val="5228116F"/>
    <w:rsid w:val="52344790"/>
    <w:rsid w:val="525F5585"/>
    <w:rsid w:val="52722424"/>
    <w:rsid w:val="52B7284F"/>
    <w:rsid w:val="52FC7B3A"/>
    <w:rsid w:val="53901823"/>
    <w:rsid w:val="546E7D01"/>
    <w:rsid w:val="54E4023C"/>
    <w:rsid w:val="54EB4EAE"/>
    <w:rsid w:val="552472DB"/>
    <w:rsid w:val="554F75D0"/>
    <w:rsid w:val="55570048"/>
    <w:rsid w:val="559C65E1"/>
    <w:rsid w:val="56062989"/>
    <w:rsid w:val="564F2794"/>
    <w:rsid w:val="56646DA2"/>
    <w:rsid w:val="56741476"/>
    <w:rsid w:val="56913784"/>
    <w:rsid w:val="56A30136"/>
    <w:rsid w:val="56FC15F5"/>
    <w:rsid w:val="570F757A"/>
    <w:rsid w:val="571E156B"/>
    <w:rsid w:val="578D049F"/>
    <w:rsid w:val="58194E86"/>
    <w:rsid w:val="581F1A3E"/>
    <w:rsid w:val="58841DC5"/>
    <w:rsid w:val="58CB127E"/>
    <w:rsid w:val="58FE1654"/>
    <w:rsid w:val="59745DBA"/>
    <w:rsid w:val="59957CDD"/>
    <w:rsid w:val="59D46859"/>
    <w:rsid w:val="59DE4FE1"/>
    <w:rsid w:val="59E54695"/>
    <w:rsid w:val="59E65F92"/>
    <w:rsid w:val="5A006E3F"/>
    <w:rsid w:val="5A5B4884"/>
    <w:rsid w:val="5A9F069A"/>
    <w:rsid w:val="5ABA3CA0"/>
    <w:rsid w:val="5B372BFB"/>
    <w:rsid w:val="5B4812AC"/>
    <w:rsid w:val="5B4A6DD2"/>
    <w:rsid w:val="5B5C75CF"/>
    <w:rsid w:val="5BA04C44"/>
    <w:rsid w:val="5BC92E71"/>
    <w:rsid w:val="5BD14DFE"/>
    <w:rsid w:val="5C982299"/>
    <w:rsid w:val="5C992EAA"/>
    <w:rsid w:val="5CE2128D"/>
    <w:rsid w:val="5D080CF3"/>
    <w:rsid w:val="5DE5235F"/>
    <w:rsid w:val="5DEB31C4"/>
    <w:rsid w:val="5E1C432A"/>
    <w:rsid w:val="5E3D0D53"/>
    <w:rsid w:val="5E5835B4"/>
    <w:rsid w:val="5E5C58A6"/>
    <w:rsid w:val="5E724B06"/>
    <w:rsid w:val="5EA52572"/>
    <w:rsid w:val="5F0674B4"/>
    <w:rsid w:val="5FB05672"/>
    <w:rsid w:val="5FB87AB3"/>
    <w:rsid w:val="5FF67DD8"/>
    <w:rsid w:val="60026F0C"/>
    <w:rsid w:val="601C6864"/>
    <w:rsid w:val="604B2F4B"/>
    <w:rsid w:val="60BA216D"/>
    <w:rsid w:val="610222F1"/>
    <w:rsid w:val="61395AB8"/>
    <w:rsid w:val="614F39EC"/>
    <w:rsid w:val="616109D2"/>
    <w:rsid w:val="617F354E"/>
    <w:rsid w:val="62724E61"/>
    <w:rsid w:val="62C5540B"/>
    <w:rsid w:val="63443BFB"/>
    <w:rsid w:val="634467FD"/>
    <w:rsid w:val="63822E81"/>
    <w:rsid w:val="6390559E"/>
    <w:rsid w:val="63A72D32"/>
    <w:rsid w:val="63BC2837"/>
    <w:rsid w:val="63BD3EBA"/>
    <w:rsid w:val="63BE0206"/>
    <w:rsid w:val="645760BC"/>
    <w:rsid w:val="65025FAF"/>
    <w:rsid w:val="65066CFA"/>
    <w:rsid w:val="65136487"/>
    <w:rsid w:val="65397D11"/>
    <w:rsid w:val="658C2103"/>
    <w:rsid w:val="66520DF5"/>
    <w:rsid w:val="667C648B"/>
    <w:rsid w:val="667E4E0F"/>
    <w:rsid w:val="669F3F4A"/>
    <w:rsid w:val="66CA0DC7"/>
    <w:rsid w:val="67024A05"/>
    <w:rsid w:val="671007B9"/>
    <w:rsid w:val="681738B7"/>
    <w:rsid w:val="68324E76"/>
    <w:rsid w:val="68393FBD"/>
    <w:rsid w:val="68533D81"/>
    <w:rsid w:val="68776D2D"/>
    <w:rsid w:val="68921DB9"/>
    <w:rsid w:val="68A452E5"/>
    <w:rsid w:val="68AF64C7"/>
    <w:rsid w:val="68B41D2F"/>
    <w:rsid w:val="68D20407"/>
    <w:rsid w:val="691C57DC"/>
    <w:rsid w:val="693469CC"/>
    <w:rsid w:val="69434E61"/>
    <w:rsid w:val="695232F6"/>
    <w:rsid w:val="69766FE4"/>
    <w:rsid w:val="69794D27"/>
    <w:rsid w:val="69CE5072"/>
    <w:rsid w:val="6A0C16F7"/>
    <w:rsid w:val="6A9242F2"/>
    <w:rsid w:val="6B9F718E"/>
    <w:rsid w:val="6BA15796"/>
    <w:rsid w:val="6C184383"/>
    <w:rsid w:val="6C2B055A"/>
    <w:rsid w:val="6C54271A"/>
    <w:rsid w:val="6C841D40"/>
    <w:rsid w:val="6C873A9C"/>
    <w:rsid w:val="6D1A3698"/>
    <w:rsid w:val="6DEF55B7"/>
    <w:rsid w:val="6E6D6BF9"/>
    <w:rsid w:val="6F1400E0"/>
    <w:rsid w:val="6F1E447E"/>
    <w:rsid w:val="6F5E29F5"/>
    <w:rsid w:val="70473062"/>
    <w:rsid w:val="707029DF"/>
    <w:rsid w:val="70C525FF"/>
    <w:rsid w:val="711710AD"/>
    <w:rsid w:val="714E155F"/>
    <w:rsid w:val="71A843FB"/>
    <w:rsid w:val="71EC2F57"/>
    <w:rsid w:val="71FE0B22"/>
    <w:rsid w:val="722717C4"/>
    <w:rsid w:val="7265409A"/>
    <w:rsid w:val="726F4F19"/>
    <w:rsid w:val="72C55C32"/>
    <w:rsid w:val="73013BB9"/>
    <w:rsid w:val="734F0FD2"/>
    <w:rsid w:val="737F63F3"/>
    <w:rsid w:val="73E3796C"/>
    <w:rsid w:val="7425388F"/>
    <w:rsid w:val="74AF5AA0"/>
    <w:rsid w:val="74AF784E"/>
    <w:rsid w:val="74FB2A94"/>
    <w:rsid w:val="752A04F6"/>
    <w:rsid w:val="756B594D"/>
    <w:rsid w:val="75A11976"/>
    <w:rsid w:val="75AD3F58"/>
    <w:rsid w:val="760B627A"/>
    <w:rsid w:val="768C7E47"/>
    <w:rsid w:val="76982C90"/>
    <w:rsid w:val="76E557A9"/>
    <w:rsid w:val="7706409E"/>
    <w:rsid w:val="776668EA"/>
    <w:rsid w:val="776C1A27"/>
    <w:rsid w:val="77F04406"/>
    <w:rsid w:val="78047D16"/>
    <w:rsid w:val="78047EB1"/>
    <w:rsid w:val="78174088"/>
    <w:rsid w:val="78411105"/>
    <w:rsid w:val="784A2763"/>
    <w:rsid w:val="787B5A40"/>
    <w:rsid w:val="788637E3"/>
    <w:rsid w:val="78872FBC"/>
    <w:rsid w:val="788A6608"/>
    <w:rsid w:val="789C2CF8"/>
    <w:rsid w:val="78FB7506"/>
    <w:rsid w:val="790C5D73"/>
    <w:rsid w:val="796B01E8"/>
    <w:rsid w:val="79D7587D"/>
    <w:rsid w:val="79E65AC0"/>
    <w:rsid w:val="7A09609F"/>
    <w:rsid w:val="7A431165"/>
    <w:rsid w:val="7A5275FA"/>
    <w:rsid w:val="7A804167"/>
    <w:rsid w:val="7A866F6C"/>
    <w:rsid w:val="7A9B2D4F"/>
    <w:rsid w:val="7ABB1B1B"/>
    <w:rsid w:val="7ABC173E"/>
    <w:rsid w:val="7AF34939"/>
    <w:rsid w:val="7AF908C1"/>
    <w:rsid w:val="7AF91823"/>
    <w:rsid w:val="7B0A1C83"/>
    <w:rsid w:val="7B0F7299"/>
    <w:rsid w:val="7B4C229B"/>
    <w:rsid w:val="7B670FB9"/>
    <w:rsid w:val="7B8B2DC3"/>
    <w:rsid w:val="7BA0756B"/>
    <w:rsid w:val="7BBD4F47"/>
    <w:rsid w:val="7BD45E75"/>
    <w:rsid w:val="7BE41E5B"/>
    <w:rsid w:val="7BFB9213"/>
    <w:rsid w:val="7C1423E9"/>
    <w:rsid w:val="7CAE3CED"/>
    <w:rsid w:val="7CB3450B"/>
    <w:rsid w:val="7D1666BD"/>
    <w:rsid w:val="7D195211"/>
    <w:rsid w:val="7D2C130F"/>
    <w:rsid w:val="7D535C59"/>
    <w:rsid w:val="7DB22BDF"/>
    <w:rsid w:val="7DE70059"/>
    <w:rsid w:val="7E5232ED"/>
    <w:rsid w:val="7E8B3E5A"/>
    <w:rsid w:val="7E920698"/>
    <w:rsid w:val="7ED51158"/>
    <w:rsid w:val="7F285EDC"/>
    <w:rsid w:val="7F60562E"/>
    <w:rsid w:val="7F721BA4"/>
    <w:rsid w:val="7F97781F"/>
    <w:rsid w:val="7FAA6DBD"/>
    <w:rsid w:val="7FC560B2"/>
    <w:rsid w:val="7FFF168A"/>
    <w:rsid w:val="DFDFC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pPr>
      <w:widowControl w:val="0"/>
      <w:jc w:val="both"/>
    </w:pPr>
    <w:rPr>
      <w:rFonts w:ascii="Calibri" w:hAnsi="Calibri" w:eastAsia="宋体" w:cs="Times New Roman"/>
      <w:kern w:val="2"/>
      <w:sz w:val="21"/>
      <w:szCs w:val="24"/>
      <w:lang w:val="en-US" w:eastAsia="zh-CN" w:bidi="ar-SA"/>
    </w:rPr>
  </w:style>
  <w:style w:type="paragraph" w:styleId="6">
    <w:name w:val="Body Text"/>
    <w:basedOn w:val="1"/>
    <w:next w:val="1"/>
    <w:qFormat/>
    <w:uiPriority w:val="0"/>
    <w:rPr>
      <w:rFonts w:ascii="仿宋" w:hAnsi="仿宋" w:eastAsia="仿宋" w:cs="仿宋"/>
      <w:sz w:val="24"/>
      <w:lang w:val="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List"/>
    <w:basedOn w:val="1"/>
    <w:qFormat/>
    <w:uiPriority w:val="0"/>
    <w:pPr>
      <w:ind w:left="200" w:hanging="200" w:hangingChars="200"/>
    </w:pPr>
  </w:style>
  <w:style w:type="paragraph" w:styleId="10">
    <w:name w:val="footnote text"/>
    <w:basedOn w:val="1"/>
    <w:semiHidden/>
    <w:qFormat/>
    <w:uiPriority w:val="0"/>
    <w:pPr>
      <w:snapToGrid w:val="0"/>
      <w:jc w:val="left"/>
    </w:pPr>
    <w:rPr>
      <w:rFonts w:ascii="宋体" w:hAnsi="宋体"/>
      <w:color w:val="000000"/>
      <w:sz w:val="18"/>
      <w:szCs w:val="18"/>
    </w:rPr>
  </w:style>
  <w:style w:type="paragraph" w:styleId="11">
    <w:name w:val="table of figures"/>
    <w:basedOn w:val="1"/>
    <w:next w:val="1"/>
    <w:semiHidden/>
    <w:qFormat/>
    <w:uiPriority w:val="0"/>
    <w:pPr>
      <w:ind w:left="420" w:hanging="420"/>
      <w:jc w:val="left"/>
    </w:pPr>
    <w:rPr>
      <w:smallCaps/>
      <w:sz w:val="20"/>
      <w:szCs w:val="20"/>
    </w:rPr>
  </w:style>
  <w:style w:type="paragraph" w:styleId="12">
    <w:name w:val="Normal (Web)"/>
    <w:basedOn w:val="1"/>
    <w:unhideWhenUsed/>
    <w:qFormat/>
    <w:uiPriority w:val="99"/>
    <w:pPr>
      <w:spacing w:before="100" w:beforeAutospacing="1" w:after="100" w:afterAutospacing="1"/>
    </w:pPr>
    <w:rPr>
      <w:rFonts w:ascii="Times" w:hAnsi="Times" w:cs="Times New Roman"/>
      <w:sz w:val="20"/>
      <w:szCs w:val="20"/>
    </w:rPr>
  </w:style>
  <w:style w:type="table" w:styleId="14">
    <w:name w:val="Table Grid"/>
    <w:basedOn w:val="1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footnote reference"/>
    <w:semiHidden/>
    <w:qFormat/>
    <w:uiPriority w:val="0"/>
    <w:rPr>
      <w:vertAlign w:val="superscript"/>
    </w:rPr>
  </w:style>
  <w:style w:type="paragraph" w:customStyle="1" w:styleId="17">
    <w:name w:val="正文2"/>
    <w:basedOn w:val="1"/>
    <w:next w:val="1"/>
    <w:qFormat/>
    <w:uiPriority w:val="0"/>
  </w:style>
  <w:style w:type="paragraph" w:customStyle="1" w:styleId="18">
    <w:name w:val="样式1"/>
    <w:basedOn w:val="11"/>
    <w:qFormat/>
    <w:uiPriority w:val="0"/>
    <w:pPr>
      <w:ind w:firstLine="1680"/>
    </w:pPr>
  </w:style>
  <w:style w:type="character" w:customStyle="1" w:styleId="19">
    <w:name w:val="样式3"/>
    <w:qFormat/>
    <w:uiPriority w:val="0"/>
    <w:rPr>
      <w:b/>
      <w:szCs w:val="21"/>
    </w:rPr>
  </w:style>
  <w:style w:type="paragraph" w:customStyle="1" w:styleId="20">
    <w:name w:val="．正文"/>
    <w:basedOn w:val="1"/>
    <w:qFormat/>
    <w:uiPriority w:val="0"/>
    <w:pPr>
      <w:spacing w:line="360" w:lineRule="auto"/>
      <w:ind w:firstLine="480" w:firstLineChars="200"/>
      <w:jc w:val="left"/>
    </w:pPr>
    <w:rPr>
      <w:rFonts w:asciiTheme="minorEastAsia" w:hAnsiTheme="minorEastAsia"/>
      <w:color w:val="000000"/>
      <w:sz w:val="24"/>
    </w:rPr>
  </w:style>
  <w:style w:type="paragraph" w:customStyle="1" w:styleId="21">
    <w:name w:val="图表目录1"/>
    <w:basedOn w:val="22"/>
    <w:next w:val="1"/>
    <w:qFormat/>
    <w:uiPriority w:val="99"/>
    <w:pPr>
      <w:ind w:left="200" w:leftChars="200" w:hanging="200" w:hangingChars="200"/>
    </w:pPr>
    <w:rPr>
      <w:rFonts w:ascii="Calibri" w:hAnsi="Calibri" w:eastAsia="宋体"/>
    </w:rPr>
  </w:style>
  <w:style w:type="paragraph" w:customStyle="1" w:styleId="22">
    <w:name w:val="正文 New"/>
    <w:qFormat/>
    <w:uiPriority w:val="0"/>
    <w:pPr>
      <w:widowControl w:val="0"/>
      <w:jc w:val="both"/>
    </w:pPr>
    <w:rPr>
      <w:rFonts w:ascii="Times New Roman" w:hAnsi="Times New Roman"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8.wmf"/><Relationship Id="rId98" Type="http://schemas.openxmlformats.org/officeDocument/2006/relationships/oleObject" Target="embeddings/oleObject26.bin"/><Relationship Id="rId97" Type="http://schemas.openxmlformats.org/officeDocument/2006/relationships/image" Target="media/image27.wmf"/><Relationship Id="rId96" Type="http://schemas.openxmlformats.org/officeDocument/2006/relationships/oleObject" Target="embeddings/oleObject25.bin"/><Relationship Id="rId95" Type="http://schemas.openxmlformats.org/officeDocument/2006/relationships/image" Target="media/image26.wmf"/><Relationship Id="rId94" Type="http://schemas.openxmlformats.org/officeDocument/2006/relationships/oleObject" Target="embeddings/oleObject24.bin"/><Relationship Id="rId93" Type="http://schemas.openxmlformats.org/officeDocument/2006/relationships/image" Target="media/image25.wmf"/><Relationship Id="rId92" Type="http://schemas.openxmlformats.org/officeDocument/2006/relationships/oleObject" Target="embeddings/oleObject23.bin"/><Relationship Id="rId91" Type="http://schemas.openxmlformats.org/officeDocument/2006/relationships/image" Target="media/image24.wmf"/><Relationship Id="rId90" Type="http://schemas.openxmlformats.org/officeDocument/2006/relationships/oleObject" Target="embeddings/oleObject22.bin"/><Relationship Id="rId9" Type="http://schemas.openxmlformats.org/officeDocument/2006/relationships/image" Target="media/image1.png"/><Relationship Id="rId89" Type="http://schemas.openxmlformats.org/officeDocument/2006/relationships/image" Target="media/image23.wmf"/><Relationship Id="rId88" Type="http://schemas.openxmlformats.org/officeDocument/2006/relationships/oleObject" Target="embeddings/oleObject21.bin"/><Relationship Id="rId87" Type="http://schemas.openxmlformats.org/officeDocument/2006/relationships/image" Target="media/image22.wmf"/><Relationship Id="rId86" Type="http://schemas.openxmlformats.org/officeDocument/2006/relationships/oleObject" Target="embeddings/oleObject20.bin"/><Relationship Id="rId85" Type="http://schemas.openxmlformats.org/officeDocument/2006/relationships/image" Target="media/image21.wmf"/><Relationship Id="rId84" Type="http://schemas.openxmlformats.org/officeDocument/2006/relationships/oleObject" Target="embeddings/oleObject19.bin"/><Relationship Id="rId83" Type="http://schemas.openxmlformats.org/officeDocument/2006/relationships/image" Target="media/image20.wmf"/><Relationship Id="rId82" Type="http://schemas.openxmlformats.org/officeDocument/2006/relationships/oleObject" Target="embeddings/oleObject18.bin"/><Relationship Id="rId81" Type="http://schemas.openxmlformats.org/officeDocument/2006/relationships/image" Target="media/image19.wmf"/><Relationship Id="rId80" Type="http://schemas.openxmlformats.org/officeDocument/2006/relationships/oleObject" Target="embeddings/oleObject17.bin"/><Relationship Id="rId8" Type="http://schemas.openxmlformats.org/officeDocument/2006/relationships/theme" Target="theme/theme1.xml"/><Relationship Id="rId79" Type="http://schemas.openxmlformats.org/officeDocument/2006/relationships/image" Target="media/image18.wmf"/><Relationship Id="rId78" Type="http://schemas.openxmlformats.org/officeDocument/2006/relationships/oleObject" Target="embeddings/oleObject16.bin"/><Relationship Id="rId77" Type="http://schemas.openxmlformats.org/officeDocument/2006/relationships/image" Target="media/image17.wmf"/><Relationship Id="rId76" Type="http://schemas.openxmlformats.org/officeDocument/2006/relationships/oleObject" Target="embeddings/oleObject15.bin"/><Relationship Id="rId75" Type="http://schemas.openxmlformats.org/officeDocument/2006/relationships/image" Target="media/image16.wmf"/><Relationship Id="rId74" Type="http://schemas.openxmlformats.org/officeDocument/2006/relationships/oleObject" Target="embeddings/oleObject14.bin"/><Relationship Id="rId73" Type="http://schemas.openxmlformats.org/officeDocument/2006/relationships/image" Target="media/image15.emf"/><Relationship Id="rId72" Type="http://schemas.openxmlformats.org/officeDocument/2006/relationships/oleObject" Target="embeddings/oleObject13.bin"/><Relationship Id="rId71" Type="http://schemas.openxmlformats.org/officeDocument/2006/relationships/image" Target="media/image14.wmf"/><Relationship Id="rId70" Type="http://schemas.openxmlformats.org/officeDocument/2006/relationships/oleObject" Target="embeddings/oleObject12.bin"/><Relationship Id="rId7" Type="http://schemas.openxmlformats.org/officeDocument/2006/relationships/footer" Target="footer2.xml"/><Relationship Id="rId69" Type="http://schemas.openxmlformats.org/officeDocument/2006/relationships/image" Target="media/image13.wmf"/><Relationship Id="rId68" Type="http://schemas.openxmlformats.org/officeDocument/2006/relationships/oleObject" Target="embeddings/oleObject11.bin"/><Relationship Id="rId67" Type="http://schemas.openxmlformats.org/officeDocument/2006/relationships/image" Target="media/image12.emf"/><Relationship Id="rId66" Type="http://schemas.openxmlformats.org/officeDocument/2006/relationships/oleObject" Target="embeddings/oleObject10.bin"/><Relationship Id="rId65" Type="http://schemas.openxmlformats.org/officeDocument/2006/relationships/chart" Target="charts/chart37.xml"/><Relationship Id="rId64" Type="http://schemas.openxmlformats.org/officeDocument/2006/relationships/image" Target="media/image11.emf"/><Relationship Id="rId63" Type="http://schemas.openxmlformats.org/officeDocument/2006/relationships/oleObject" Target="embeddings/oleObject9.bin"/><Relationship Id="rId62" Type="http://schemas.openxmlformats.org/officeDocument/2006/relationships/image" Target="media/image10.wmf"/><Relationship Id="rId61" Type="http://schemas.openxmlformats.org/officeDocument/2006/relationships/oleObject" Target="embeddings/oleObject8.bin"/><Relationship Id="rId60" Type="http://schemas.openxmlformats.org/officeDocument/2006/relationships/image" Target="media/image9.wmf"/><Relationship Id="rId6" Type="http://schemas.openxmlformats.org/officeDocument/2006/relationships/header" Target="header1.xml"/><Relationship Id="rId59" Type="http://schemas.openxmlformats.org/officeDocument/2006/relationships/oleObject" Target="embeddings/oleObject7.bin"/><Relationship Id="rId58" Type="http://schemas.openxmlformats.org/officeDocument/2006/relationships/chart" Target="charts/chart36.xml"/><Relationship Id="rId57" Type="http://schemas.openxmlformats.org/officeDocument/2006/relationships/image" Target="media/image8.wmf"/><Relationship Id="rId56" Type="http://schemas.openxmlformats.org/officeDocument/2006/relationships/oleObject" Target="embeddings/oleObject6.bin"/><Relationship Id="rId55" Type="http://schemas.openxmlformats.org/officeDocument/2006/relationships/image" Target="media/image7.wmf"/><Relationship Id="rId54" Type="http://schemas.openxmlformats.org/officeDocument/2006/relationships/oleObject" Target="embeddings/oleObject5.bin"/><Relationship Id="rId53" Type="http://schemas.openxmlformats.org/officeDocument/2006/relationships/chart" Target="charts/chart35.xml"/><Relationship Id="rId52" Type="http://schemas.openxmlformats.org/officeDocument/2006/relationships/image" Target="media/image6.wmf"/><Relationship Id="rId51" Type="http://schemas.openxmlformats.org/officeDocument/2006/relationships/oleObject" Target="embeddings/oleObject4.bin"/><Relationship Id="rId50" Type="http://schemas.openxmlformats.org/officeDocument/2006/relationships/image" Target="media/image5.wmf"/><Relationship Id="rId5" Type="http://schemas.openxmlformats.org/officeDocument/2006/relationships/footer" Target="footer1.xml"/><Relationship Id="rId49" Type="http://schemas.openxmlformats.org/officeDocument/2006/relationships/oleObject" Target="embeddings/oleObject3.bin"/><Relationship Id="rId48" Type="http://schemas.openxmlformats.org/officeDocument/2006/relationships/chart" Target="charts/chart34.xml"/><Relationship Id="rId47" Type="http://schemas.openxmlformats.org/officeDocument/2006/relationships/chart" Target="charts/chart33.xml"/><Relationship Id="rId46" Type="http://schemas.openxmlformats.org/officeDocument/2006/relationships/chart" Target="charts/chart32.xml"/><Relationship Id="rId45" Type="http://schemas.openxmlformats.org/officeDocument/2006/relationships/chart" Target="charts/chart31.xml"/><Relationship Id="rId44" Type="http://schemas.openxmlformats.org/officeDocument/2006/relationships/chart" Target="charts/chart30.xml"/><Relationship Id="rId43" Type="http://schemas.openxmlformats.org/officeDocument/2006/relationships/chart" Target="charts/chart29.xml"/><Relationship Id="rId42" Type="http://schemas.openxmlformats.org/officeDocument/2006/relationships/chart" Target="charts/chart28.xml"/><Relationship Id="rId41" Type="http://schemas.openxmlformats.org/officeDocument/2006/relationships/chart" Target="charts/chart27.xml"/><Relationship Id="rId40" Type="http://schemas.openxmlformats.org/officeDocument/2006/relationships/chart" Target="charts/chart26.xml"/><Relationship Id="rId4" Type="http://schemas.openxmlformats.org/officeDocument/2006/relationships/endnotes" Target="endnotes.xml"/><Relationship Id="rId39" Type="http://schemas.openxmlformats.org/officeDocument/2006/relationships/chart" Target="charts/chart25.xml"/><Relationship Id="rId38" Type="http://schemas.openxmlformats.org/officeDocument/2006/relationships/chart" Target="charts/chart24.xml"/><Relationship Id="rId37" Type="http://schemas.openxmlformats.org/officeDocument/2006/relationships/chart" Target="charts/chart23.xml"/><Relationship Id="rId36" Type="http://schemas.openxmlformats.org/officeDocument/2006/relationships/chart" Target="charts/chart22.xml"/><Relationship Id="rId35" Type="http://schemas.openxmlformats.org/officeDocument/2006/relationships/chart" Target="charts/chart21.xml"/><Relationship Id="rId34" Type="http://schemas.openxmlformats.org/officeDocument/2006/relationships/chart" Target="charts/chart20.xml"/><Relationship Id="rId33" Type="http://schemas.openxmlformats.org/officeDocument/2006/relationships/image" Target="media/image4.wmf"/><Relationship Id="rId32" Type="http://schemas.openxmlformats.org/officeDocument/2006/relationships/oleObject" Target="embeddings/oleObject2.bin"/><Relationship Id="rId31" Type="http://schemas.openxmlformats.org/officeDocument/2006/relationships/chart" Target="charts/chart19.xml"/><Relationship Id="rId30" Type="http://schemas.openxmlformats.org/officeDocument/2006/relationships/chart" Target="charts/chart18.xml"/><Relationship Id="rId3" Type="http://schemas.openxmlformats.org/officeDocument/2006/relationships/footnotes" Target="footnotes.xml"/><Relationship Id="rId29" Type="http://schemas.openxmlformats.org/officeDocument/2006/relationships/image" Target="media/image3.wmf"/><Relationship Id="rId28" Type="http://schemas.openxmlformats.org/officeDocument/2006/relationships/oleObject" Target="embeddings/oleObject1.bin"/><Relationship Id="rId27" Type="http://schemas.openxmlformats.org/officeDocument/2006/relationships/chart" Target="charts/chart17.xml"/><Relationship Id="rId26" Type="http://schemas.openxmlformats.org/officeDocument/2006/relationships/chart" Target="charts/chart16.xml"/><Relationship Id="rId25" Type="http://schemas.openxmlformats.org/officeDocument/2006/relationships/chart" Target="charts/chart15.xml"/><Relationship Id="rId24" Type="http://schemas.openxmlformats.org/officeDocument/2006/relationships/chart" Target="charts/chart14.xml"/><Relationship Id="rId23" Type="http://schemas.openxmlformats.org/officeDocument/2006/relationships/chart" Target="charts/chart13.xml"/><Relationship Id="rId22" Type="http://schemas.openxmlformats.org/officeDocument/2006/relationships/chart" Target="charts/chart12.xml"/><Relationship Id="rId21" Type="http://schemas.openxmlformats.org/officeDocument/2006/relationships/chart" Target="charts/chart11.xml"/><Relationship Id="rId20" Type="http://schemas.openxmlformats.org/officeDocument/2006/relationships/chart" Target="charts/chart10.xml"/><Relationship Id="rId2" Type="http://schemas.openxmlformats.org/officeDocument/2006/relationships/settings" Target="settings.xml"/><Relationship Id="rId19" Type="http://schemas.openxmlformats.org/officeDocument/2006/relationships/chart" Target="charts/chart9.xml"/><Relationship Id="rId18" Type="http://schemas.openxmlformats.org/officeDocument/2006/relationships/chart" Target="charts/chart8.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image" Target="media/image2.png"/><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34.png"/><Relationship Id="rId11" Type="http://schemas.openxmlformats.org/officeDocument/2006/relationships/chart" Target="charts/chart2.xml"/><Relationship Id="rId109" Type="http://schemas.openxmlformats.org/officeDocument/2006/relationships/image" Target="media/image33.wmf"/><Relationship Id="rId108" Type="http://schemas.openxmlformats.org/officeDocument/2006/relationships/oleObject" Target="embeddings/oleObject31.bin"/><Relationship Id="rId107" Type="http://schemas.openxmlformats.org/officeDocument/2006/relationships/image" Target="media/image32.wmf"/><Relationship Id="rId106" Type="http://schemas.openxmlformats.org/officeDocument/2006/relationships/oleObject" Target="embeddings/oleObject30.bin"/><Relationship Id="rId105" Type="http://schemas.openxmlformats.org/officeDocument/2006/relationships/image" Target="media/image31.wmf"/><Relationship Id="rId104" Type="http://schemas.openxmlformats.org/officeDocument/2006/relationships/oleObject" Target="embeddings/oleObject29.bin"/><Relationship Id="rId103" Type="http://schemas.openxmlformats.org/officeDocument/2006/relationships/image" Target="media/image30.wmf"/><Relationship Id="rId102" Type="http://schemas.openxmlformats.org/officeDocument/2006/relationships/oleObject" Target="embeddings/oleObject28.bin"/><Relationship Id="rId101" Type="http://schemas.openxmlformats.org/officeDocument/2006/relationships/image" Target="media/image29.wmf"/><Relationship Id="rId100" Type="http://schemas.openxmlformats.org/officeDocument/2006/relationships/oleObject" Target="embeddings/oleObject27.bin"/><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34013;&#30382;&#20070;&#21021;&#31295;\&#24037;&#20316;&#31807;1.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34013;&#30382;&#20070;&#21021;&#31295;\&#24037;&#20316;&#31807;1.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34013;&#30382;&#20070;&#21021;&#31295;\&#24037;&#20316;&#31807;1.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H:\&#34013;&#30382;&#20070;&#21021;&#31295;\&#24037;&#20316;&#31807;1.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H:\&#34013;&#30382;&#20070;&#21021;&#31295;\&#24037;&#20316;&#31807;1.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H:\&#34013;&#30382;&#20070;&#21021;&#31295;\&#24037;&#20316;&#31807;1.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Administrator\Desktop\&#34013;&#30382;&#20070;1207\&#34013;&#30382;&#20070;&#34920;&#26684;1207.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24037;&#20316;&#31807;1"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24037;&#20316;&#31807;1"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C:\Users\Administrator\Desktop\&#34013;&#30382;&#20070;1207\&#34013;&#30382;&#20070;&#34920;&#26684;120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ministrator\Desktop\&#34013;&#30382;&#20070;1207\&#34013;&#30382;&#20070;&#34920;&#26684;120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H:\&#34013;&#30382;&#20070;&#21021;&#31295;\&#24037;&#20316;&#31807;1.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24037;&#20316;&#31807;1"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24037;&#20316;&#31807;1"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Administrator\Desktop\&#34013;&#30382;&#20070;1207\&#34013;&#30382;&#20070;&#34920;&#26684;1207.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24037;&#20316;&#31807;1"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24037;&#20316;&#31807;1"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24037;&#20316;&#31807;1"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24037;&#20316;&#31807;1"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24037;&#20316;&#31807;1"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H:\&#34013;&#30382;&#20070;&#21021;&#31295;\&#24037;&#20316;&#31807;1.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24037;&#20316;&#31807;1"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24037;&#20316;&#31807;1"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24037;&#20316;&#31807;1"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24037;&#20316;&#31807;1"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24037;&#20316;&#31807;1"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24037;&#20316;&#31807;1"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24037;&#20316;&#31807;1"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24037;&#20316;&#31807;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H:\&#34013;&#30382;&#20070;&#21021;&#31295;\&#24037;&#20316;&#31807;1.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H:\&#34013;&#30382;&#20070;&#21021;&#31295;\&#24037;&#20316;&#31807;1.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H:\&#34013;&#30382;&#20070;&#21021;&#31295;\&#24037;&#20316;&#31807;1.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H:\&#34013;&#30382;&#20070;&#21021;&#31295;\&#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[工作簿1.xlsx]Sheet1!$M$194</c:f>
              <c:strCache>
                <c:ptCount val="1"/>
                <c:pt idx="0">
                  <c:v>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085"/>
                  <c:y val="0.0027777777777777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a:t>
                    </a:r>
                    <a:r>
                      <a:rPr lang="en-US" altLang="zh-CN"/>
                      <a:t>1.5%</a:t>
                    </a:r>
                    <a:r>
                      <a:t>）</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16666666666667"/>
                  <c:y val="-0.0027777777777777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a:t>
                    </a:r>
                    <a:r>
                      <a:rPr lang="en-US" altLang="zh-CN"/>
                      <a:t>2.2%</a:t>
                    </a:r>
                    <a:r>
                      <a:t>）</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16（</a:t>
                    </a:r>
                    <a:r>
                      <a:rPr lang="en-US" altLang="zh-CN"/>
                      <a:t>11.9%</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35（</a:t>
                    </a:r>
                    <a:r>
                      <a:rPr lang="en-US" altLang="zh-CN"/>
                      <a:t>25.9%</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50（</a:t>
                    </a:r>
                    <a:r>
                      <a:rPr lang="en-US" altLang="zh-CN"/>
                      <a:t>37.0%</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5"/>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29（</a:t>
                    </a:r>
                    <a:r>
                      <a:rPr lang="en-US" altLang="zh-CN"/>
                      <a:t>21.5%</a:t>
                    </a:r>
                    <a:r>
                      <a:t>）</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[工作簿1.xlsx]Sheet1!$L$195:$L$200</c:f>
              <c:strCache>
                <c:ptCount val="6"/>
                <c:pt idx="0">
                  <c:v>特大型剧场</c:v>
                </c:pt>
                <c:pt idx="1">
                  <c:v>大型演出场馆</c:v>
                </c:pt>
                <c:pt idx="2">
                  <c:v>大型剧场</c:v>
                </c:pt>
                <c:pt idx="3">
                  <c:v>中型剧场</c:v>
                </c:pt>
                <c:pt idx="4">
                  <c:v>小型剧场</c:v>
                </c:pt>
                <c:pt idx="5">
                  <c:v>微型剧场</c:v>
                </c:pt>
              </c:strCache>
            </c:strRef>
          </c:cat>
          <c:val>
            <c:numRef>
              <c:f>[工作簿1.xlsx]Sheet1!$M$195:$M$200</c:f>
              <c:numCache>
                <c:formatCode>General</c:formatCode>
                <c:ptCount val="6"/>
                <c:pt idx="0">
                  <c:v>2</c:v>
                </c:pt>
                <c:pt idx="1">
                  <c:v>3</c:v>
                </c:pt>
                <c:pt idx="2">
                  <c:v>16</c:v>
                </c:pt>
                <c:pt idx="3">
                  <c:v>35</c:v>
                </c:pt>
                <c:pt idx="4">
                  <c:v>50</c:v>
                </c:pt>
                <c:pt idx="5">
                  <c:v>29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t>演出场次（万场）</a:t>
            </a:r>
          </a:p>
        </c:rich>
      </c:tx>
      <c:layout>
        <c:manualLayout>
          <c:xMode val="edge"/>
          <c:yMode val="edge"/>
          <c:x val="0.305694444444445"/>
          <c:y val="0.0347222222222223"/>
        </c:manualLayout>
      </c:layout>
      <c:overlay val="0"/>
      <c:spPr>
        <a:noFill/>
        <a:ln>
          <a:noFill/>
        </a:ln>
        <a:effectLst/>
      </c:spPr>
    </c:title>
    <c:autoTitleDeleted val="0"/>
    <c:plotArea>
      <c:layout/>
      <c:pieChart>
        <c:varyColors val="1"/>
        <c:ser>
          <c:idx val="0"/>
          <c:order val="0"/>
          <c:tx>
            <c:strRef>
              <c:f>[工作簿1.xlsx]Sheet1!$O$55</c:f>
              <c:strCache>
                <c:ptCount val="1"/>
                <c:pt idx="0">
                  <c:v>演出场次</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1.37（</a:t>
                    </a:r>
                    <a:r>
                      <a:rPr lang="en-US" altLang="zh-CN"/>
                      <a:t>7.22%</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17.6（</a:t>
                    </a:r>
                    <a:r>
                      <a:rPr lang="en-US" altLang="zh-CN"/>
                      <a:t>92.78%</a:t>
                    </a:r>
                    <a:r>
                      <a:t>）</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[工作簿1.xlsx]Sheet1!$N$56:$N$57</c:f>
              <c:strCache>
                <c:ptCount val="2"/>
                <c:pt idx="0">
                  <c:v>四川省</c:v>
                </c:pt>
                <c:pt idx="1">
                  <c:v>其他省份</c:v>
                </c:pt>
              </c:strCache>
            </c:strRef>
          </c:cat>
          <c:val>
            <c:numRef>
              <c:f>[工作簿1.xlsx]Sheet1!$O$56:$O$57</c:f>
              <c:numCache>
                <c:formatCode>General</c:formatCode>
                <c:ptCount val="2"/>
                <c:pt idx="0">
                  <c:v>1.37</c:v>
                </c:pt>
                <c:pt idx="1">
                  <c:v>17.6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t>票房总收入（亿元）</a:t>
            </a:r>
          </a:p>
        </c:rich>
      </c:tx>
      <c:layout/>
      <c:overlay val="0"/>
      <c:spPr>
        <a:noFill/>
        <a:ln>
          <a:noFill/>
        </a:ln>
        <a:effectLst/>
      </c:spPr>
    </c:title>
    <c:autoTitleDeleted val="0"/>
    <c:plotArea>
      <c:layout/>
      <c:pieChart>
        <c:varyColors val="1"/>
        <c:ser>
          <c:idx val="0"/>
          <c:order val="0"/>
          <c:tx>
            <c:strRef>
              <c:f>[工作簿1.xlsx]Sheet1!$M$49</c:f>
              <c:strCache>
                <c:ptCount val="1"/>
                <c:pt idx="0">
                  <c:v>票房总收入</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12.07（</a:t>
                    </a:r>
                    <a:r>
                      <a:rPr lang="en-US" altLang="zh-CN"/>
                      <a:t>8.60%</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128.21（</a:t>
                    </a:r>
                    <a:r>
                      <a:rPr lang="en-US" altLang="zh-CN"/>
                      <a:t>91.40%</a:t>
                    </a:r>
                    <a:r>
                      <a:t>）</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[工作簿1.xlsx]Sheet1!$L$50:$L$51</c:f>
              <c:strCache>
                <c:ptCount val="2"/>
                <c:pt idx="0">
                  <c:v>四川省</c:v>
                </c:pt>
                <c:pt idx="1">
                  <c:v>其他省份</c:v>
                </c:pt>
              </c:strCache>
            </c:strRef>
          </c:cat>
          <c:val>
            <c:numRef>
              <c:f>[工作簿1.xlsx]Sheet1!$M$50:$M$51</c:f>
              <c:numCache>
                <c:formatCode>General</c:formatCode>
                <c:ptCount val="2"/>
                <c:pt idx="0">
                  <c:v>12.07</c:v>
                </c:pt>
                <c:pt idx="1">
                  <c:v>128.21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t>演出场次（万场）</a:t>
            </a:r>
          </a:p>
        </c:rich>
      </c:tx>
      <c:layout/>
      <c:overlay val="0"/>
      <c:spPr>
        <a:noFill/>
        <a:ln>
          <a:noFill/>
        </a:ln>
        <a:effectLst/>
      </c:spPr>
    </c:title>
    <c:autoTitleDeleted val="0"/>
    <c:plotArea>
      <c:layout/>
      <c:pieChart>
        <c:varyColors val="1"/>
        <c:ser>
          <c:idx val="0"/>
          <c:order val="0"/>
          <c:tx>
            <c:strRef>
              <c:f>[工作簿1.xlsx]Sheet1!$M$80</c:f>
              <c:strCache>
                <c:ptCount val="1"/>
                <c:pt idx="0">
                  <c:v>演出场次</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1.02（</a:t>
                    </a:r>
                    <a:r>
                      <a:rPr lang="en-US" altLang="zh-CN"/>
                      <a:t>37.23%</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1.72（</a:t>
                    </a:r>
                    <a:r>
                      <a:rPr lang="en-US" altLang="zh-CN"/>
                      <a:t>62.77%</a:t>
                    </a:r>
                    <a:r>
                      <a:rPr altLang="en-US"/>
                      <a:t>）</a:t>
                    </a:r>
                    <a:endParaRPr alt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[工作簿1.xlsx]Sheet1!$L$81:$L$82</c:f>
              <c:strCache>
                <c:ptCount val="2"/>
                <c:pt idx="0">
                  <c:v>四川省</c:v>
                </c:pt>
                <c:pt idx="1">
                  <c:v>西部地区其他省份</c:v>
                </c:pt>
              </c:strCache>
            </c:strRef>
          </c:cat>
          <c:val>
            <c:numRef>
              <c:f>[工作簿1.xlsx]Sheet1!$M$81:$M$82</c:f>
              <c:numCache>
                <c:formatCode>General</c:formatCode>
                <c:ptCount val="2"/>
                <c:pt idx="0">
                  <c:v>1.02</c:v>
                </c:pt>
                <c:pt idx="1">
                  <c:v>1.72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t>票房收入（亿元）</a:t>
            </a:r>
          </a:p>
        </c:rich>
      </c:tx>
      <c:layout/>
      <c:overlay val="0"/>
      <c:spPr>
        <a:noFill/>
        <a:ln>
          <a:noFill/>
        </a:ln>
        <a:effectLst/>
      </c:spPr>
    </c:title>
    <c:autoTitleDeleted val="0"/>
    <c:plotArea>
      <c:layout/>
      <c:pieChart>
        <c:varyColors val="1"/>
        <c:ser>
          <c:idx val="0"/>
          <c:order val="0"/>
          <c:tx>
            <c:strRef>
              <c:f>[工作簿1.xlsx]Sheet1!$M$84</c:f>
              <c:strCache>
                <c:ptCount val="1"/>
                <c:pt idx="0">
                  <c:v>票房收入</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8.18（</a:t>
                    </a:r>
                    <a:r>
                      <a:rPr lang="en-US" altLang="zh-CN"/>
                      <a:t>42.94%</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10.87（</a:t>
                    </a:r>
                    <a:r>
                      <a:rPr lang="en-US" altLang="zh-CN"/>
                      <a:t>57.06%</a:t>
                    </a:r>
                    <a:r>
                      <a:t>）</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[工作簿1.xlsx]Sheet1!$L$85:$L$86</c:f>
              <c:strCache>
                <c:ptCount val="2"/>
                <c:pt idx="0">
                  <c:v>四川省</c:v>
                </c:pt>
                <c:pt idx="1">
                  <c:v>西部地区其他省份</c:v>
                </c:pt>
              </c:strCache>
            </c:strRef>
          </c:cat>
          <c:val>
            <c:numRef>
              <c:f>[工作簿1.xlsx]Sheet1!$M$85:$M$86</c:f>
              <c:numCache>
                <c:formatCode>General</c:formatCode>
                <c:ptCount val="2"/>
                <c:pt idx="0">
                  <c:v>8.18</c:v>
                </c:pt>
                <c:pt idx="1">
                  <c:v>10.87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t>观演人次（万人次）</a:t>
            </a:r>
          </a:p>
        </c:rich>
      </c:tx>
      <c:layout/>
      <c:overlay val="0"/>
      <c:spPr>
        <a:noFill/>
        <a:ln>
          <a:noFill/>
        </a:ln>
        <a:effectLst/>
      </c:spPr>
    </c:title>
    <c:autoTitleDeleted val="0"/>
    <c:plotArea>
      <c:layout/>
      <c:pieChart>
        <c:varyColors val="1"/>
        <c:ser>
          <c:idx val="0"/>
          <c:order val="0"/>
          <c:tx>
            <c:strRef>
              <c:f>[工作簿1.xlsx]Sheet1!$M$89</c:f>
              <c:strCache>
                <c:ptCount val="1"/>
                <c:pt idx="0">
                  <c:v>观演人次</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398.96（</a:t>
                    </a:r>
                    <a:r>
                      <a:rPr lang="en-US" altLang="zh-CN"/>
                      <a:t>46.28%</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463.02（</a:t>
                    </a:r>
                    <a:r>
                      <a:rPr lang="en-US" altLang="zh-CN"/>
                      <a:t>53.72%</a:t>
                    </a:r>
                    <a:r>
                      <a:t>）</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[工作簿1.xlsx]Sheet1!$L$90:$L$91</c:f>
              <c:strCache>
                <c:ptCount val="2"/>
                <c:pt idx="0">
                  <c:v>四川省</c:v>
                </c:pt>
                <c:pt idx="1">
                  <c:v>西部地区其他省份</c:v>
                </c:pt>
              </c:strCache>
            </c:strRef>
          </c:cat>
          <c:val>
            <c:numRef>
              <c:f>[工作簿1.xlsx]Sheet1!$M$90:$M$91</c:f>
              <c:numCache>
                <c:formatCode>General</c:formatCode>
                <c:ptCount val="2"/>
                <c:pt idx="0">
                  <c:v>398.96</c:v>
                </c:pt>
                <c:pt idx="1">
                  <c:v>463.02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37337966056"/>
          <c:y val="0.257200267916946"/>
          <c:w val="0.818441801416544"/>
          <c:h val="0.677606608617995"/>
        </c:manualLayout>
      </c:layout>
      <c:barChart>
        <c:barDir val="bar"/>
        <c:grouping val="clustered"/>
        <c:varyColors val="0"/>
        <c:ser>
          <c:idx val="0"/>
          <c:order val="0"/>
          <c:tx>
            <c:strRef>
              <c:f>[蓝皮书表格1207.xlsx]Sheet1!$B$263</c:f>
              <c:strCache>
                <c:ptCount val="1"/>
                <c:pt idx="0">
                  <c:v>文艺表演数量（个）</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[蓝皮书表格1207.xlsx]Sheet1!$C$262:$D$262</c:f>
              <c:strCache>
                <c:ptCount val="2"/>
                <c:pt idx="0">
                  <c:v>2020年</c:v>
                </c:pt>
                <c:pt idx="1">
                  <c:v>2021年</c:v>
                </c:pt>
              </c:strCache>
            </c:strRef>
          </c:cat>
          <c:val>
            <c:numRef>
              <c:f>[蓝皮书表格1207.xlsx]Sheet1!$C$263:$D$263</c:f>
              <c:numCache>
                <c:formatCode>General</c:formatCode>
                <c:ptCount val="2"/>
                <c:pt idx="0">
                  <c:v>683</c:v>
                </c:pt>
                <c:pt idx="1">
                  <c:v>663</c:v>
                </c:pt>
              </c:numCache>
            </c:numRef>
          </c:val>
        </c:ser>
        <c:ser>
          <c:idx val="1"/>
          <c:order val="1"/>
          <c:tx>
            <c:strRef>
              <c:f>[蓝皮书表格1207.xlsx]Sheet1!$B$264</c:f>
              <c:strCache>
                <c:ptCount val="1"/>
                <c:pt idx="0">
                  <c:v>从业人数（人次）</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[蓝皮书表格1207.xlsx]Sheet1!$C$262:$D$262</c:f>
              <c:strCache>
                <c:ptCount val="2"/>
                <c:pt idx="0">
                  <c:v>2020年</c:v>
                </c:pt>
                <c:pt idx="1">
                  <c:v>2021年</c:v>
                </c:pt>
              </c:strCache>
            </c:strRef>
          </c:cat>
          <c:val>
            <c:numRef>
              <c:f>[蓝皮书表格1207.xlsx]Sheet1!$C$264:$D$264</c:f>
              <c:numCache>
                <c:formatCode>General</c:formatCode>
                <c:ptCount val="2"/>
                <c:pt idx="0">
                  <c:v>12288</c:v>
                </c:pt>
                <c:pt idx="1">
                  <c:v>13397</c:v>
                </c:pt>
              </c:numCache>
            </c:numRef>
          </c:val>
        </c:ser>
        <c:dLbls>
          <c:showLegendKey val="0"/>
          <c:showVal val="1"/>
          <c:showCatName val="0"/>
          <c:showSerName val="0"/>
          <c:showPercent val="0"/>
          <c:showBubbleSize val="0"/>
        </c:dLbls>
        <c:gapWidth val="100"/>
        <c:overlap val="0"/>
        <c:axId val="335275419"/>
        <c:axId val="27565439"/>
      </c:barChart>
      <c:catAx>
        <c:axId val="3352754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ysClr val="windowText" lastClr="000000"/>
                </a:solidFill>
                <a:latin typeface="+mn-lt"/>
                <a:ea typeface="+mn-ea"/>
                <a:cs typeface="+mn-cs"/>
              </a:defRPr>
            </a:pPr>
          </a:p>
        </c:txPr>
        <c:crossAx val="27565439"/>
        <c:crosses val="autoZero"/>
        <c:auto val="1"/>
        <c:lblAlgn val="ctr"/>
        <c:lblOffset val="100"/>
        <c:noMultiLvlLbl val="0"/>
      </c:catAx>
      <c:valAx>
        <c:axId val="275654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ysClr val="windowText" lastClr="000000"/>
                </a:solidFill>
                <a:latin typeface="+mn-lt"/>
                <a:ea typeface="+mn-ea"/>
                <a:cs typeface="+mn-cs"/>
              </a:defRPr>
            </a:pPr>
          </a:p>
        </c:txPr>
        <c:crossAx val="335275419"/>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0" vertOverflow="ellipsis" vert="horz" wrap="square" anchor="ctr" anchorCtr="1"/>
          <a:lstStyle/>
          <a:p>
            <a:pPr>
              <a:defRPr lang="zh-CN" sz="900" b="1"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solidFill>
            <a:sysClr val="windowText" lastClr="000000"/>
          </a:solidFill>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scene3d>
            <a:sp3d contourW="25400"/>
          </c:spPr>
          <c:explosion val="0"/>
          <c:dPt>
            <c:idx val="0"/>
            <c:bubble3D val="0"/>
            <c:spPr>
              <a:solidFill>
                <a:srgbClr val="4F81BD"/>
              </a:solidFill>
              <a:ln w="25400">
                <a:solidFill>
                  <a:srgbClr val="FFFFFF"/>
                </a:solidFill>
              </a:ln>
              <a:effectLst/>
              <a:scene3d>
                <a:camera prst="orthographicFront"/>
                <a:lightRig rig="threePt" dir="t"/>
              </a:scene3d>
              <a:sp3d contourW="25400"/>
            </c:spPr>
          </c:dPt>
          <c:dPt>
            <c:idx val="1"/>
            <c:bubble3D val="0"/>
            <c:spPr>
              <a:solidFill>
                <a:srgbClr val="C0504D"/>
              </a:solidFill>
              <a:ln w="25400">
                <a:solidFill>
                  <a:srgbClr val="FFFFFF"/>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[工作簿1]Sheet1!$C$5:$C$6</c:f>
              <c:strCache>
                <c:ptCount val="2"/>
                <c:pt idx="0">
                  <c:v>国有团体</c:v>
                </c:pt>
                <c:pt idx="1">
                  <c:v>民营团体</c:v>
                </c:pt>
              </c:strCache>
            </c:strRef>
          </c:cat>
          <c:val>
            <c:numRef>
              <c:f>[工作簿1]Sheet1!$D$5:$D$6</c:f>
              <c:numCache>
                <c:formatCode>0.00%</c:formatCode>
                <c:ptCount val="2"/>
                <c:pt idx="0">
                  <c:v>0.0724</c:v>
                </c:pt>
                <c:pt idx="1">
                  <c:v>0.9276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013888888889"/>
          <c:y val="0.199768518518519"/>
          <c:w val="0.475972222222222"/>
          <c:h val="0.793287037037037"/>
        </c:manualLayout>
      </c:layout>
      <c:pieChart>
        <c:varyColors val="1"/>
        <c:ser>
          <c:idx val="0"/>
          <c:order val="0"/>
          <c:spPr/>
          <c:explosion val="4"/>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explosion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189015912264677"/>
                  <c:y val="0.085645233588922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29518814323198"/>
                  <c:y val="-0.19354412358099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13061460477092"/>
                  <c:y val="-0.039464680265904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550013320522961"/>
                  <c:y val="0.074687378028778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980226039681597"/>
                  <c:y val="0.079944144742663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363835741200019"/>
                  <c:y val="0"/>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0800515563799484"/>
                  <c:y val="0.011111111111111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[工作簿1]Sheet1!$B$4:$B$10</c:f>
              <c:strCache>
                <c:ptCount val="7"/>
                <c:pt idx="0">
                  <c:v>歌舞类</c:v>
                </c:pt>
                <c:pt idx="1">
                  <c:v>戏曲类</c:v>
                </c:pt>
                <c:pt idx="2">
                  <c:v>音乐类</c:v>
                </c:pt>
                <c:pt idx="3">
                  <c:v>话剧类</c:v>
                </c:pt>
                <c:pt idx="4">
                  <c:v>曲艺杂技类</c:v>
                </c:pt>
                <c:pt idx="5">
                  <c:v>皮影木偶与儿童剧</c:v>
                </c:pt>
                <c:pt idx="6">
                  <c:v>其他</c:v>
                </c:pt>
              </c:strCache>
            </c:strRef>
          </c:cat>
          <c:val>
            <c:numRef>
              <c:f>[工作簿1]Sheet1!$C$4:$C$10</c:f>
              <c:numCache>
                <c:formatCode>0.00%</c:formatCode>
                <c:ptCount val="7"/>
                <c:pt idx="0">
                  <c:v>0.403</c:v>
                </c:pt>
                <c:pt idx="1">
                  <c:v>0.243</c:v>
                </c:pt>
                <c:pt idx="2">
                  <c:v>0.135</c:v>
                </c:pt>
                <c:pt idx="3">
                  <c:v>0.103</c:v>
                </c:pt>
                <c:pt idx="4">
                  <c:v>0.045</c:v>
                </c:pt>
                <c:pt idx="5">
                  <c:v>0.038</c:v>
                </c:pt>
                <c:pt idx="6">
                  <c:v>0.033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80" b="1" i="0" u="none" strike="noStrike" kern="1200" spc="0" normalizeH="0" baseline="0">
                <a:solidFill>
                  <a:sysClr val="windowText" lastClr="000000"/>
                </a:solidFill>
                <a:latin typeface="+mj-lt"/>
                <a:ea typeface="+mj-ea"/>
                <a:cs typeface="+mj-cs"/>
              </a:defRPr>
            </a:pPr>
            <a:r>
              <a:rPr sz="1080">
                <a:solidFill>
                  <a:sysClr val="windowText" lastClr="000000"/>
                </a:solidFill>
              </a:rPr>
              <a:t>成都艺术剧院收入构成</a:t>
            </a:r>
            <a:endParaRPr sz="1080">
              <a:solidFill>
                <a:sysClr val="windowText" lastClr="000000"/>
              </a:solidFill>
            </a:endParaRPr>
          </a:p>
        </c:rich>
      </c:tx>
      <c:layout/>
      <c:overlay val="0"/>
      <c:spPr>
        <a:noFill/>
        <a:ln>
          <a:noFill/>
        </a:ln>
        <a:effectLst/>
      </c:spPr>
    </c:title>
    <c:autoTitleDeleted val="0"/>
    <c:plotArea>
      <c:layout/>
      <c:pieChart>
        <c:varyColors val="1"/>
        <c:ser>
          <c:idx val="0"/>
          <c:order val="0"/>
          <c:spPr/>
          <c:explosion val="4"/>
          <c:dPt>
            <c:idx val="0"/>
            <c:bubble3D val="0"/>
            <c:explosion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explosion val="0"/>
            <c:spPr>
              <a:gradFill>
                <a:gsLst>
                  <a:gs pos="100000">
                    <a:schemeClr val="accent2">
                      <a:lumMod val="60000"/>
                      <a:lumOff val="40000"/>
                    </a:schemeClr>
                  </a:gs>
                  <a:gs pos="0">
                    <a:schemeClr val="accent2"/>
                  </a:gs>
                </a:gsLst>
                <a:lin ang="5400000" scaled="0"/>
              </a:gra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[蓝皮书表格1207.xlsx]Sheet1!$B$319:$B$320</c:f>
              <c:strCache>
                <c:ptCount val="2"/>
                <c:pt idx="0">
                  <c:v>政府补贴</c:v>
                </c:pt>
                <c:pt idx="1">
                  <c:v>商业演出</c:v>
                </c:pt>
              </c:strCache>
            </c:strRef>
          </c:cat>
          <c:val>
            <c:numRef>
              <c:f>[蓝皮书表格1207.xlsx]Sheet1!$C$319:$C$320</c:f>
              <c:numCache>
                <c:formatCode>General</c:formatCode>
                <c:ptCount val="2"/>
                <c:pt idx="0">
                  <c:v>1220.35</c:v>
                </c:pt>
                <c:pt idx="1">
                  <c:v>4256.68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lang="zh-CN" sz="900">
          <a:solidFill>
            <a:sysClr val="windowText" lastClr="000000"/>
          </a:solidFill>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[蓝皮书表格1207.xlsx]Sheet1!$B$332:$B$334</c:f>
              <c:strCache>
                <c:ptCount val="3"/>
                <c:pt idx="0">
                  <c:v>伦敦每万人均剧场数量（个）</c:v>
                </c:pt>
                <c:pt idx="1">
                  <c:v>纽约每万人均剧场数量（个）</c:v>
                </c:pt>
                <c:pt idx="2">
                  <c:v>成都每万人均剧场数量（个）</c:v>
                </c:pt>
              </c:strCache>
            </c:strRef>
          </c:cat>
          <c:val>
            <c:numRef>
              <c:f>[蓝皮书表格1207.xlsx]Sheet1!$C$332:$C$334</c:f>
              <c:numCache>
                <c:formatCode>General</c:formatCode>
                <c:ptCount val="3"/>
                <c:pt idx="0">
                  <c:v>1.16</c:v>
                </c:pt>
                <c:pt idx="1">
                  <c:v>1.19</c:v>
                </c:pt>
                <c:pt idx="2">
                  <c:v>0.03</c:v>
                </c:pt>
              </c:numCache>
            </c:numRef>
          </c:val>
        </c:ser>
        <c:dLbls>
          <c:showLegendKey val="0"/>
          <c:showVal val="1"/>
          <c:showCatName val="0"/>
          <c:showSerName val="0"/>
          <c:showPercent val="0"/>
          <c:showBubbleSize val="0"/>
        </c:dLbls>
        <c:gapWidth val="150"/>
        <c:overlap val="0"/>
        <c:axId val="336886852"/>
        <c:axId val="928538565"/>
      </c:barChart>
      <c:catAx>
        <c:axId val="33688685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8538565"/>
        <c:crosses val="autoZero"/>
        <c:auto val="1"/>
        <c:lblAlgn val="ctr"/>
        <c:lblOffset val="100"/>
        <c:noMultiLvlLbl val="0"/>
      </c:catAx>
      <c:valAx>
        <c:axId val="928538565"/>
        <c:scaling>
          <c:orientation val="minMax"/>
        </c:scaling>
        <c:delete val="0"/>
        <c:axPos val="l"/>
        <c:majorGridlines>
          <c:spPr>
            <a:ln w="9525" cap="flat" cmpd="sng" algn="ctr">
              <a:solidFill>
                <a:schemeClr val="tx1">
                  <a:lumMod val="15000"/>
                  <a:lumOff val="85000"/>
                </a:schemeClr>
              </a:solidFill>
              <a:prstDash val="solid"/>
              <a:round/>
            </a:ln>
            <a:effectLst/>
          </c:spPr>
        </c:majorGridlines>
        <c:title>
          <c:layout/>
          <c:overlay val="0"/>
          <c:spPr>
            <a:noFill/>
            <a:ln>
              <a:noFill/>
            </a:ln>
            <a:effectLst/>
          </c:spPr>
          <c:tx>
            <c:rich>
              <a:bodyPr/>
              <a:lstStyle/>
              <a:p>
                <a:pPr>
                  <a:defRPr/>
                </a:pPr>
              </a:p>
            </c:rich>
          </c:tx>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688685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[工作簿1.xlsx]Sheet1!$H$191</c:f>
              <c:strCache>
                <c:ptCount val="1"/>
                <c:pt idx="0">
                  <c:v>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583333333333333"/>
                  <c:y val="0.19722222222222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83（</a:t>
                    </a:r>
                    <a:r>
                      <a:rPr lang="en-US" altLang="zh-CN"/>
                      <a:t>61.5%</a:t>
                    </a:r>
                    <a:r>
                      <a:t>）</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6666666666667"/>
                  <c:y val="0.29166666666666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29</a:t>
                    </a:r>
                    <a:r>
                      <a:rPr altLang="en-US"/>
                      <a:t>（</a:t>
                    </a:r>
                    <a:r>
                      <a:t>2</a:t>
                    </a:r>
                    <a:r>
                      <a:rPr lang="en-US" altLang="zh-CN"/>
                      <a:t>1.5%</a:t>
                    </a:r>
                    <a:r>
                      <a:rPr altLang="en-US"/>
                      <a:t>）</a:t>
                    </a:r>
                    <a:endParaRPr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8（</a:t>
                    </a:r>
                    <a:r>
                      <a:rPr lang="en-US" altLang="zh-CN"/>
                      <a:t>5.9%</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15（</a:t>
                    </a:r>
                    <a:r>
                      <a:rPr lang="en-US" altLang="zh-CN"/>
                      <a:t>11.1%</a:t>
                    </a:r>
                    <a:r>
                      <a:t>）</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[工作簿1.xlsx]Sheet1!$G$192:$G$195</c:f>
              <c:strCache>
                <c:ptCount val="4"/>
                <c:pt idx="0">
                  <c:v>川西（成都、德阳、雅安、甘孜、阿坝、资阳）</c:v>
                </c:pt>
                <c:pt idx="1">
                  <c:v>川南（攀枝花、泸州、自贡、宜宾、内江、乐山、眉山、凉山）</c:v>
                </c:pt>
                <c:pt idx="2">
                  <c:v>川北（绵阳、广元、广安）</c:v>
                </c:pt>
                <c:pt idx="3">
                  <c:v>川东（遂宁、巴中、达州、南充）</c:v>
                </c:pt>
              </c:strCache>
            </c:strRef>
          </c:cat>
          <c:val>
            <c:numRef>
              <c:f>[工作簿1.xlsx]Sheet1!$H$192:$H$195</c:f>
              <c:numCache>
                <c:formatCode>General</c:formatCode>
                <c:ptCount val="4"/>
                <c:pt idx="0">
                  <c:v>83</c:v>
                </c:pt>
                <c:pt idx="1">
                  <c:v>29</c:v>
                </c:pt>
                <c:pt idx="2">
                  <c:v>8</c:v>
                </c:pt>
                <c:pt idx="3">
                  <c:v>15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barChart>
        <c:barDir val="bar"/>
        <c:grouping val="clustered"/>
        <c:varyColors val="0"/>
        <c:ser>
          <c:idx val="0"/>
          <c:order val="0"/>
          <c:tx>
            <c:strRef>
              <c:f>[工作簿1]Sheet1!$D$4</c:f>
              <c:strCache>
                <c:ptCount val="1"/>
                <c:pt idx="0">
                  <c:v>演出场次（万）</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trendline>
            <c:spPr>
              <a:ln w="19050" cap="rnd">
                <a:solidFill>
                  <a:srgbClr val="4F81BD"/>
                </a:solidFill>
                <a:prstDash val="sysDot"/>
              </a:ln>
              <a:effectLst/>
            </c:spPr>
            <c:trendlineType val="linear"/>
            <c:dispRSqr val="0"/>
            <c:dispEq val="0"/>
          </c:trendline>
          <c:cat>
            <c:strRef>
              <c:f>[工作簿1]Sheet1!$C$5:$C$7</c:f>
              <c:strCache>
                <c:ptCount val="3"/>
                <c:pt idx="0">
                  <c:v>四川省</c:v>
                </c:pt>
                <c:pt idx="1">
                  <c:v>西部地区</c:v>
                </c:pt>
                <c:pt idx="2">
                  <c:v>全国</c:v>
                </c:pt>
              </c:strCache>
            </c:strRef>
          </c:cat>
          <c:val>
            <c:numRef>
              <c:f>[工作簿1]Sheet1!$D$5:$D$7</c:f>
              <c:numCache>
                <c:formatCode>General</c:formatCode>
                <c:ptCount val="3"/>
                <c:pt idx="0">
                  <c:v>1.02</c:v>
                </c:pt>
                <c:pt idx="1">
                  <c:v>2.74</c:v>
                </c:pt>
                <c:pt idx="2">
                  <c:v>18.97</c:v>
                </c:pt>
              </c:numCache>
            </c:numRef>
          </c:val>
        </c:ser>
        <c:dLbls>
          <c:showLegendKey val="0"/>
          <c:showVal val="1"/>
          <c:showCatName val="0"/>
          <c:showSerName val="0"/>
          <c:showPercent val="0"/>
          <c:showBubbleSize val="0"/>
        </c:dLbls>
        <c:gapWidth val="182"/>
        <c:overlap val="0"/>
        <c:axId val="937280789"/>
        <c:axId val="511133912"/>
      </c:barChart>
      <c:catAx>
        <c:axId val="937280789"/>
        <c:scaling>
          <c:orientation val="minMax"/>
        </c:scaling>
        <c:delete val="0"/>
        <c:axPos val="l"/>
        <c:majorTickMark val="out"/>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11133912"/>
        <c:crosses val="autoZero"/>
        <c:auto val="1"/>
        <c:lblAlgn val="ctr"/>
        <c:lblOffset val="100"/>
        <c:noMultiLvlLbl val="0"/>
      </c:catAx>
      <c:valAx>
        <c:axId val="511133912"/>
        <c:scaling>
          <c:orientation val="minMax"/>
        </c:scaling>
        <c:delete val="0"/>
        <c:axPos val="b"/>
        <c:majorGridlines>
          <c:spPr>
            <a:ln w="9525" cap="flat" cmpd="sng" algn="ctr">
              <a:solidFill>
                <a:srgbClr val="D9D9D9">
                  <a:lumMod val="15000"/>
                  <a:lumOff val="85000"/>
                </a:srgb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37280789"/>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dTable>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barChart>
        <c:barDir val="bar"/>
        <c:grouping val="clustered"/>
        <c:varyColors val="0"/>
        <c:ser>
          <c:idx val="0"/>
          <c:order val="0"/>
          <c:tx>
            <c:strRef>
              <c:f>[工作簿1]Sheet1!$L$4</c:f>
              <c:strCache>
                <c:ptCount val="1"/>
                <c:pt idx="0">
                  <c:v>票房收入（亿）</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trendline>
            <c:spPr>
              <a:ln w="19050" cap="rnd">
                <a:solidFill>
                  <a:srgbClr val="4F81BD"/>
                </a:solidFill>
                <a:prstDash val="sysDot"/>
              </a:ln>
              <a:effectLst/>
            </c:spPr>
            <c:trendlineType val="linear"/>
            <c:dispRSqr val="0"/>
            <c:dispEq val="0"/>
          </c:trendline>
          <c:cat>
            <c:strRef>
              <c:f>[工作簿1]Sheet1!$K$5:$K$7</c:f>
              <c:strCache>
                <c:ptCount val="3"/>
                <c:pt idx="0">
                  <c:v>四川省</c:v>
                </c:pt>
                <c:pt idx="1">
                  <c:v>西部地区</c:v>
                </c:pt>
                <c:pt idx="2">
                  <c:v>全国</c:v>
                </c:pt>
              </c:strCache>
            </c:strRef>
          </c:cat>
          <c:val>
            <c:numRef>
              <c:f>[工作簿1]Sheet1!$L$5:$L$7</c:f>
              <c:numCache>
                <c:formatCode>General</c:formatCode>
                <c:ptCount val="3"/>
                <c:pt idx="0">
                  <c:v>8.18</c:v>
                </c:pt>
                <c:pt idx="1">
                  <c:v>19.05</c:v>
                </c:pt>
                <c:pt idx="2">
                  <c:v>140.28</c:v>
                </c:pt>
              </c:numCache>
            </c:numRef>
          </c:val>
        </c:ser>
        <c:dLbls>
          <c:showLegendKey val="0"/>
          <c:showVal val="1"/>
          <c:showCatName val="0"/>
          <c:showSerName val="0"/>
          <c:showPercent val="0"/>
          <c:showBubbleSize val="0"/>
        </c:dLbls>
        <c:gapWidth val="182"/>
        <c:overlap val="0"/>
        <c:axId val="453881031"/>
        <c:axId val="205735489"/>
      </c:barChart>
      <c:catAx>
        <c:axId val="453881031"/>
        <c:scaling>
          <c:orientation val="minMax"/>
        </c:scaling>
        <c:delete val="0"/>
        <c:axPos val="l"/>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05735489"/>
        <c:crosses val="autoZero"/>
        <c:auto val="1"/>
        <c:lblAlgn val="ctr"/>
        <c:lblOffset val="100"/>
        <c:noMultiLvlLbl val="0"/>
      </c:catAx>
      <c:valAx>
        <c:axId val="205735489"/>
        <c:scaling>
          <c:orientation val="minMax"/>
        </c:scaling>
        <c:delete val="0"/>
        <c:axPos val="b"/>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53881031"/>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dTable>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37337966056"/>
          <c:y val="0.257200267916946"/>
          <c:w val="0.818441801416544"/>
          <c:h val="0.677606608617995"/>
        </c:manualLayout>
      </c:layout>
      <c:barChart>
        <c:barDir val="bar"/>
        <c:grouping val="clustered"/>
        <c:varyColors val="0"/>
        <c:ser>
          <c:idx val="0"/>
          <c:order val="0"/>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[蓝皮书表格1207.xlsx]Sheet1!$B$357:$B$358</c:f>
              <c:strCache>
                <c:ptCount val="2"/>
                <c:pt idx="0">
                  <c:v>四川省演出观演人次（万）</c:v>
                </c:pt>
                <c:pt idx="1">
                  <c:v>西部地区演出观演人次（万）</c:v>
                </c:pt>
              </c:strCache>
            </c:strRef>
          </c:cat>
          <c:val>
            <c:numRef>
              <c:f>[蓝皮书表格1207.xlsx]Sheet1!$C$357:$C$358</c:f>
              <c:numCache>
                <c:formatCode>General</c:formatCode>
                <c:ptCount val="2"/>
                <c:pt idx="0">
                  <c:v>398.96</c:v>
                </c:pt>
                <c:pt idx="1">
                  <c:v>861.98</c:v>
                </c:pt>
              </c:numCache>
            </c:numRef>
          </c:val>
        </c:ser>
        <c:dLbls>
          <c:showLegendKey val="0"/>
          <c:showVal val="1"/>
          <c:showCatName val="0"/>
          <c:showSerName val="0"/>
          <c:showPercent val="0"/>
          <c:showBubbleSize val="0"/>
        </c:dLbls>
        <c:gapWidth val="182"/>
        <c:overlap val="0"/>
        <c:axId val="478926339"/>
        <c:axId val="213200072"/>
      </c:barChart>
      <c:catAx>
        <c:axId val="4789263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3200072"/>
        <c:crosses val="autoZero"/>
        <c:auto val="1"/>
        <c:lblAlgn val="ctr"/>
        <c:lblOffset val="100"/>
        <c:noMultiLvlLbl val="0"/>
      </c:catAx>
      <c:valAx>
        <c:axId val="21320007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89263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4"/>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explosion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dLbl>
              <c:idx val="0"/>
              <c:layout>
                <c:manualLayout>
                  <c:x val="-0.15415458353755"/>
                  <c:y val="0.1551534313915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音乐会28</a:t>
                    </a:r>
                    <a:r>
                      <a:rPr lang="en-US" altLang="zh-CN"/>
                      <a:t>.1</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03373243034795"/>
                  <c:y val="-0.18726978872797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话剧23</a:t>
                    </a:r>
                    <a:r>
                      <a:rPr lang="en-US" altLang="zh-CN"/>
                      <a:t>.2</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
                  <c:y val="-0.14222735899662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9298831385643"/>
                      <c:h val="0.185579433621209"/>
                    </c:manualLayout>
                  </c15:layout>
                </c:ext>
              </c:extLst>
            </c:dLbl>
            <c:dLbl>
              <c:idx val="3"/>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儿童剧1</a:t>
                    </a:r>
                    <a:r>
                      <a:rPr lang="en-US" altLang="zh-CN"/>
                      <a:t>0.9</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0.0746533865178308"/>
                  <c:y val="0.092422003182312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曲艺杂技1</a:t>
                    </a:r>
                    <a:r>
                      <a:rPr lang="en-US" altLang="zh-CN"/>
                      <a:t>0.7</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546254369862811"/>
                  <c:y val="0.15629198575144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戏曲</a:t>
                    </a:r>
                  </a:p>
                  <a:p>
                    <a:pPr defTabSz="914400">
                      <a:defRPr lang="zh-CN" sz="900" b="0" i="0" u="none" strike="noStrike" kern="1200" baseline="0">
                        <a:solidFill>
                          <a:schemeClr val="tx1">
                            <a:lumMod val="75000"/>
                            <a:lumOff val="25000"/>
                          </a:schemeClr>
                        </a:solidFill>
                        <a:latin typeface="+mn-lt"/>
                        <a:ea typeface="+mn-ea"/>
                        <a:cs typeface="+mn-cs"/>
                      </a:defRPr>
                    </a:pPr>
                    <a:r>
                      <a:rPr lang="en-US" altLang="zh-CN"/>
                      <a:t>3.8</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229983824968523"/>
                  <c:y val="0.0210866900356016"/>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歌剧、音乐剧</a:t>
                    </a:r>
                  </a:p>
                  <a:p>
                    <a:pPr defTabSz="914400">
                      <a:defRPr lang="zh-CN" sz="900" b="0" i="0" u="none" strike="noStrike" kern="1200" baseline="0">
                        <a:solidFill>
                          <a:schemeClr val="tx1">
                            <a:lumMod val="75000"/>
                            <a:lumOff val="25000"/>
                          </a:schemeClr>
                        </a:solidFill>
                        <a:latin typeface="+mn-lt"/>
                        <a:ea typeface="+mn-ea"/>
                        <a:cs typeface="+mn-cs"/>
                      </a:defRPr>
                    </a:pPr>
                    <a:r>
                      <a:rPr lang="en-US" altLang="zh-CN"/>
                      <a:t>1.9</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7011686143573"/>
                      <c:h val="0.0988150230970074"/>
                    </c:manualLayout>
                  </c15:layout>
                </c:ext>
              </c:extLst>
            </c:dLbl>
            <c:dLbl>
              <c:idx val="7"/>
              <c:layout>
                <c:manualLayout>
                  <c:x val="-0.124941116542457"/>
                  <c:y val="0.096404900582446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舞蹈（舞剧）</a:t>
                    </a:r>
                  </a:p>
                  <a:p>
                    <a:pPr defTabSz="914400">
                      <a:defRPr lang="zh-CN" sz="900" b="0" i="0" u="none" strike="noStrike" kern="1200" baseline="0">
                        <a:solidFill>
                          <a:schemeClr val="tx1">
                            <a:lumMod val="75000"/>
                            <a:lumOff val="25000"/>
                          </a:schemeClr>
                        </a:solidFill>
                        <a:latin typeface="+mn-lt"/>
                        <a:ea typeface="+mn-ea"/>
                        <a:cs typeface="+mn-cs"/>
                      </a:defRPr>
                    </a:pPr>
                    <a:r>
                      <a:rPr lang="en-US" altLang="zh-CN"/>
                      <a:t>1.6</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5063995548136"/>
                      <c:h val="0.112271540469974"/>
                    </c:manualLayout>
                  </c15:layout>
                </c:ext>
              </c:extLst>
            </c:dLbl>
            <c:dLbl>
              <c:idx val="8"/>
              <c:layout>
                <c:manualLayout>
                  <c:x val="-0.00225778720402255"/>
                  <c:y val="0"/>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脱口秀</a:t>
                    </a:r>
                  </a:p>
                  <a:p>
                    <a:pPr defTabSz="914400">
                      <a:defRPr lang="zh-CN" sz="900" b="0" i="0" u="none" strike="noStrike" kern="1200" baseline="0">
                        <a:solidFill>
                          <a:schemeClr val="tx1">
                            <a:lumMod val="75000"/>
                            <a:lumOff val="25000"/>
                          </a:schemeClr>
                        </a:solidFill>
                        <a:latin typeface="+mn-lt"/>
                        <a:ea typeface="+mn-ea"/>
                        <a:cs typeface="+mn-cs"/>
                      </a:defRPr>
                    </a:pPr>
                    <a:r>
                      <a:rPr lang="en-US" altLang="zh-CN"/>
                      <a:t>1.3</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9"/>
              <c:layout>
                <c:manualLayout>
                  <c:x val="0.0394827622279978"/>
                  <c:y val="0"/>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其他1</a:t>
                    </a:r>
                    <a:r>
                      <a:rPr lang="en-US" altLang="zh-CN"/>
                      <a:t>.5</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[工作簿1]Sheet1!$B$39:$B$48</c:f>
              <c:strCache>
                <c:ptCount val="10"/>
                <c:pt idx="0">
                  <c:v>音乐会</c:v>
                </c:pt>
                <c:pt idx="1">
                  <c:v>话剧</c:v>
                </c:pt>
                <c:pt idx="2">
                  <c:v>演唱会、livehouse、音乐节</c:v>
                </c:pt>
                <c:pt idx="3">
                  <c:v>儿童剧</c:v>
                </c:pt>
                <c:pt idx="4">
                  <c:v>曲艺杂技</c:v>
                </c:pt>
                <c:pt idx="5">
                  <c:v>戏曲</c:v>
                </c:pt>
                <c:pt idx="6">
                  <c:v>歌剧、音乐剧</c:v>
                </c:pt>
                <c:pt idx="7">
                  <c:v>舞蹈（舞剧）</c:v>
                </c:pt>
                <c:pt idx="8">
                  <c:v>脱口秀</c:v>
                </c:pt>
                <c:pt idx="9">
                  <c:v>其他</c:v>
                </c:pt>
              </c:strCache>
            </c:strRef>
          </c:cat>
          <c:val>
            <c:numRef>
              <c:f>[工作簿1]Sheet1!$C$39:$C$48</c:f>
              <c:numCache>
                <c:formatCode>0.00%</c:formatCode>
                <c:ptCount val="10"/>
                <c:pt idx="0">
                  <c:v>0.281</c:v>
                </c:pt>
                <c:pt idx="1">
                  <c:v>0.232</c:v>
                </c:pt>
                <c:pt idx="2">
                  <c:v>0.17</c:v>
                </c:pt>
                <c:pt idx="3">
                  <c:v>0.109</c:v>
                </c:pt>
                <c:pt idx="4">
                  <c:v>0.107</c:v>
                </c:pt>
                <c:pt idx="5">
                  <c:v>0.038</c:v>
                </c:pt>
                <c:pt idx="6">
                  <c:v>0.019</c:v>
                </c:pt>
                <c:pt idx="7">
                  <c:v>0.016</c:v>
                </c:pt>
                <c:pt idx="8">
                  <c:v>0.013</c:v>
                </c:pt>
                <c:pt idx="9">
                  <c:v>0.015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76667"/>
                </a:schemeClr>
              </a:solidFill>
              <a:ln w="19050">
                <a:solidFill>
                  <a:schemeClr val="lt1"/>
                </a:solidFill>
              </a:ln>
              <a:effectLst/>
            </c:spPr>
          </c:dPt>
          <c:dPt>
            <c:idx val="1"/>
            <c:bubble3D val="0"/>
            <c:spPr>
              <a:solidFill>
                <a:schemeClr val="accent1">
                  <a:tint val="76667"/>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4</a:t>
                    </a:r>
                    <a:r>
                      <a:rPr lang="en-US" altLang="zh-CN"/>
                      <a:t>.65</a:t>
                    </a:r>
                    <a:r>
                      <a:t>%</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9</a:t>
                    </a:r>
                    <a:r>
                      <a:rPr lang="en-US" altLang="zh-CN"/>
                      <a:t>5.35</a:t>
                    </a:r>
                    <a:r>
                      <a:t>%</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[工作簿1]Sheet1!$C$6:$C$7</c:f>
              <c:strCache>
                <c:ptCount val="2"/>
                <c:pt idx="0">
                  <c:v>四川旅游演艺2021年场次</c:v>
                </c:pt>
                <c:pt idx="1">
                  <c:v>全国旅游演艺2021年场次</c:v>
                </c:pt>
              </c:strCache>
            </c:strRef>
          </c:cat>
          <c:val>
            <c:numRef>
              <c:f>[工作簿1]Sheet1!$D$6:$D$7</c:f>
              <c:numCache>
                <c:formatCode>General</c:formatCode>
                <c:ptCount val="2"/>
                <c:pt idx="0">
                  <c:v>3481</c:v>
                </c:pt>
                <c:pt idx="1">
                  <c:v>74800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c:explosion val="0"/>
          <c:dPt>
            <c:idx val="0"/>
            <c:bubble3D val="0"/>
            <c:spPr>
              <a:solidFill>
                <a:schemeClr val="accent1">
                  <a:shade val="76667"/>
                </a:schemeClr>
              </a:solidFill>
              <a:ln w="19050">
                <a:solidFill>
                  <a:schemeClr val="lt1"/>
                </a:solidFill>
              </a:ln>
              <a:effectLst/>
            </c:spPr>
          </c:dPt>
          <c:dPt>
            <c:idx val="1"/>
            <c:bubble3D val="0"/>
            <c:spPr>
              <a:solidFill>
                <a:schemeClr val="accent1">
                  <a:tint val="76667"/>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[工作簿1]Sheet1!$C$36:$C$37</c:f>
              <c:strCache>
                <c:ptCount val="2"/>
                <c:pt idx="0">
                  <c:v>四川旅游演艺2021年票房收入（万元）</c:v>
                </c:pt>
                <c:pt idx="1">
                  <c:v>全国旅游演艺2021年票房收入（万元）</c:v>
                </c:pt>
              </c:strCache>
            </c:strRef>
          </c:cat>
          <c:val>
            <c:numRef>
              <c:f>[工作簿1]Sheet1!$D$36:$D$37</c:f>
              <c:numCache>
                <c:formatCode>0.00%</c:formatCode>
                <c:ptCount val="2"/>
                <c:pt idx="0">
                  <c:v>0.0922</c:v>
                </c:pt>
                <c:pt idx="1">
                  <c:v>0.9078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[工作簿1]Sheet1!$C$53:$C$58</c:f>
              <c:strCache>
                <c:ptCount val="6"/>
                <c:pt idx="0">
                  <c:v>《丝路神灯》</c:v>
                </c:pt>
                <c:pt idx="1">
                  <c:v>《只有峨眉山》</c:v>
                </c:pt>
                <c:pt idx="2">
                  <c:v>《斯古拉》</c:v>
                </c:pt>
                <c:pt idx="3">
                  <c:v>《梦回巴国》</c:v>
                </c:pt>
                <c:pt idx="4">
                  <c:v>《恩阳船说》</c:v>
                </c:pt>
                <c:pt idx="5">
                  <c:v>《梦境光雾山》</c:v>
                </c:pt>
              </c:strCache>
            </c:strRef>
          </c:cat>
          <c:val>
            <c:numRef>
              <c:f>[工作簿1]Sheet1!$D$53:$D$58</c:f>
              <c:numCache>
                <c:formatCode>General</c:formatCode>
                <c:ptCount val="6"/>
                <c:pt idx="0">
                  <c:v>10</c:v>
                </c:pt>
                <c:pt idx="1">
                  <c:v>8.19</c:v>
                </c:pt>
                <c:pt idx="2">
                  <c:v>3.5</c:v>
                </c:pt>
                <c:pt idx="3">
                  <c:v>2</c:v>
                </c:pt>
                <c:pt idx="4">
                  <c:v>1.8</c:v>
                </c:pt>
                <c:pt idx="5">
                  <c:v>1.5</c:v>
                </c:pt>
              </c:numCache>
            </c:numRef>
          </c:val>
        </c:ser>
        <c:dLbls>
          <c:showLegendKey val="0"/>
          <c:showVal val="1"/>
          <c:showCatName val="0"/>
          <c:showSerName val="0"/>
          <c:showPercent val="0"/>
          <c:showBubbleSize val="0"/>
        </c:dLbls>
        <c:gapWidth val="150"/>
        <c:overlap val="0"/>
        <c:axId val="187831996"/>
        <c:axId val="58577090"/>
      </c:barChart>
      <c:catAx>
        <c:axId val="1878319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58577090"/>
        <c:crosses val="autoZero"/>
        <c:auto val="1"/>
        <c:lblAlgn val="ctr"/>
        <c:lblOffset val="100"/>
        <c:noMultiLvlLbl val="0"/>
      </c:catAx>
      <c:valAx>
        <c:axId val="58577090"/>
        <c:scaling>
          <c:orientation val="minMax"/>
        </c:scaling>
        <c:delete val="0"/>
        <c:axPos val="b"/>
        <c:majorGridlines>
          <c:spPr>
            <a:ln w="9525" cap="flat" cmpd="sng" algn="ctr">
              <a:solidFill>
                <a:schemeClr val="bg1">
                  <a:lumMod val="85000"/>
                  <a:alpha val="48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8319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202222222222"/>
          <c:y val="0.22037037037037"/>
          <c:w val="0.569464444444444"/>
          <c:h val="0.577592592592593"/>
        </c:manualLayout>
      </c:layout>
      <c:barChart>
        <c:barDir val="col"/>
        <c:grouping val="clustered"/>
        <c:varyColors val="0"/>
        <c:ser>
          <c:idx val="0"/>
          <c:order val="0"/>
          <c:tx>
            <c:strRef>
              <c:f>[工作簿1]Sheet1!$C$71</c:f>
              <c:strCache>
                <c:ptCount val="1"/>
                <c:pt idx="0">
                  <c:v>演出场次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[工作簿1]Sheet1!$D$70:$E$70</c:f>
              <c:strCache>
                <c:ptCount val="2"/>
                <c:pt idx="0">
                  <c:v>2019年</c:v>
                </c:pt>
                <c:pt idx="1">
                  <c:v>2021年</c:v>
                </c:pt>
              </c:strCache>
            </c:strRef>
          </c:cat>
          <c:val>
            <c:numRef>
              <c:f>[工作簿1]Sheet1!$D$71:$E$71</c:f>
              <c:numCache>
                <c:formatCode>General</c:formatCode>
                <c:ptCount val="2"/>
                <c:pt idx="0">
                  <c:v>556</c:v>
                </c:pt>
                <c:pt idx="1">
                  <c:v>252</c:v>
                </c:pt>
              </c:numCache>
            </c:numRef>
          </c:val>
        </c:ser>
        <c:dLbls>
          <c:showLegendKey val="0"/>
          <c:showVal val="1"/>
          <c:showCatName val="0"/>
          <c:showSerName val="0"/>
          <c:showPercent val="0"/>
          <c:showBubbleSize val="0"/>
        </c:dLbls>
        <c:gapWidth val="150"/>
        <c:overlap val="0"/>
        <c:axId val="692146718"/>
        <c:axId val="763811197"/>
      </c:barChart>
      <c:lineChart>
        <c:grouping val="standard"/>
        <c:varyColors val="0"/>
        <c:ser>
          <c:idx val="1"/>
          <c:order val="1"/>
          <c:tx>
            <c:strRef>
              <c:f>[工作簿1]Sheet1!$C$72</c:f>
              <c:strCache>
                <c:ptCount val="1"/>
                <c:pt idx="0">
                  <c:v>接待游客人次</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[工作簿1]Sheet1!$D$70:$E$70</c:f>
              <c:strCache>
                <c:ptCount val="2"/>
                <c:pt idx="0">
                  <c:v>2019年</c:v>
                </c:pt>
                <c:pt idx="1">
                  <c:v>2021年</c:v>
                </c:pt>
              </c:strCache>
            </c:strRef>
          </c:cat>
          <c:val>
            <c:numRef>
              <c:f>[工作簿1]Sheet1!$D$72:$E$72</c:f>
              <c:numCache>
                <c:formatCode>General</c:formatCode>
                <c:ptCount val="2"/>
                <c:pt idx="0">
                  <c:v>167966</c:v>
                </c:pt>
                <c:pt idx="1">
                  <c:v>67520</c:v>
                </c:pt>
              </c:numCache>
            </c:numRef>
          </c:val>
          <c:smooth val="0"/>
        </c:ser>
        <c:dLbls>
          <c:showLegendKey val="0"/>
          <c:showVal val="1"/>
          <c:showCatName val="0"/>
          <c:showSerName val="0"/>
          <c:showPercent val="0"/>
          <c:showBubbleSize val="0"/>
        </c:dLbls>
        <c:marker val="0"/>
        <c:smooth val="0"/>
        <c:axId val="925755497"/>
        <c:axId val="800474550"/>
      </c:lineChart>
      <c:catAx>
        <c:axId val="69214671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3811197"/>
        <c:crosses val="autoZero"/>
        <c:auto val="1"/>
        <c:lblAlgn val="ctr"/>
        <c:lblOffset val="100"/>
        <c:noMultiLvlLbl val="0"/>
      </c:catAx>
      <c:valAx>
        <c:axId val="76381119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2146718"/>
        <c:crosses val="autoZero"/>
        <c:crossBetween val="between"/>
      </c:valAx>
      <c:catAx>
        <c:axId val="925755497"/>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474550"/>
        <c:crosses val="autoZero"/>
        <c:auto val="1"/>
        <c:lblAlgn val="ctr"/>
        <c:lblOffset val="100"/>
        <c:noMultiLvlLbl val="0"/>
      </c:catAx>
      <c:valAx>
        <c:axId val="800474550"/>
        <c:scaling>
          <c:orientation val="minMax"/>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5755497"/>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[工作簿1]Sheet1!$C$95</c:f>
              <c:strCache>
                <c:ptCount val="1"/>
                <c:pt idx="0">
                  <c:v>演出场次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[工作簿1]Sheet1!$D$94:$E$94</c:f>
              <c:strCache>
                <c:ptCount val="2"/>
                <c:pt idx="0">
                  <c:v>2019年</c:v>
                </c:pt>
                <c:pt idx="1">
                  <c:v>2021年</c:v>
                </c:pt>
              </c:strCache>
            </c:strRef>
          </c:cat>
          <c:val>
            <c:numRef>
              <c:f>[工作簿1]Sheet1!$D$95:$E$95</c:f>
              <c:numCache>
                <c:formatCode>General</c:formatCode>
                <c:ptCount val="2"/>
                <c:pt idx="0">
                  <c:v>57</c:v>
                </c:pt>
                <c:pt idx="1">
                  <c:v>23</c:v>
                </c:pt>
              </c:numCache>
            </c:numRef>
          </c:val>
        </c:ser>
        <c:dLbls>
          <c:showLegendKey val="0"/>
          <c:showVal val="1"/>
          <c:showCatName val="0"/>
          <c:showSerName val="0"/>
          <c:showPercent val="0"/>
          <c:showBubbleSize val="0"/>
        </c:dLbls>
        <c:gapWidth val="150"/>
        <c:overlap val="0"/>
        <c:axId val="417347757"/>
        <c:axId val="37375850"/>
      </c:barChart>
      <c:lineChart>
        <c:grouping val="standard"/>
        <c:varyColors val="0"/>
        <c:ser>
          <c:idx val="1"/>
          <c:order val="1"/>
          <c:tx>
            <c:strRef>
              <c:f>[工作簿1]Sheet1!$C$96</c:f>
              <c:strCache>
                <c:ptCount val="1"/>
                <c:pt idx="0">
                  <c:v>接待游客人次</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[工作簿1]Sheet1!$D$94:$E$94</c:f>
              <c:strCache>
                <c:ptCount val="2"/>
                <c:pt idx="0">
                  <c:v>2019年</c:v>
                </c:pt>
                <c:pt idx="1">
                  <c:v>2021年</c:v>
                </c:pt>
              </c:strCache>
            </c:strRef>
          </c:cat>
          <c:val>
            <c:numRef>
              <c:f>[工作簿1]Sheet1!$D$96:$E$96</c:f>
              <c:numCache>
                <c:formatCode>General</c:formatCode>
                <c:ptCount val="2"/>
                <c:pt idx="0">
                  <c:v>22164</c:v>
                </c:pt>
                <c:pt idx="1">
                  <c:v>12855</c:v>
                </c:pt>
              </c:numCache>
            </c:numRef>
          </c:val>
          <c:smooth val="0"/>
        </c:ser>
        <c:dLbls>
          <c:showLegendKey val="0"/>
          <c:showVal val="1"/>
          <c:showCatName val="0"/>
          <c:showSerName val="0"/>
          <c:showPercent val="0"/>
          <c:showBubbleSize val="0"/>
        </c:dLbls>
        <c:marker val="0"/>
        <c:smooth val="0"/>
        <c:axId val="833851383"/>
        <c:axId val="100944331"/>
      </c:lineChart>
      <c:catAx>
        <c:axId val="4173477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375850"/>
        <c:crosses val="autoZero"/>
        <c:auto val="1"/>
        <c:lblAlgn val="ctr"/>
        <c:lblOffset val="100"/>
        <c:noMultiLvlLbl val="0"/>
      </c:catAx>
      <c:valAx>
        <c:axId val="37375850"/>
        <c:scaling>
          <c:orientation val="minMax"/>
        </c:scaling>
        <c:delete val="0"/>
        <c:axPos val="l"/>
        <c:majorGridlines>
          <c:spPr>
            <a:ln w="9525" cap="flat" cmpd="sng" algn="ctr">
              <a:solidFill>
                <a:schemeClr val="tx1">
                  <a:lumMod val="15000"/>
                  <a:lumOff val="850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7347757"/>
        <c:crosses val="autoZero"/>
        <c:crossBetween val="between"/>
      </c:valAx>
      <c:catAx>
        <c:axId val="833851383"/>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0944331"/>
        <c:crosses val="autoZero"/>
        <c:auto val="1"/>
        <c:lblAlgn val="ctr"/>
        <c:lblOffset val="100"/>
        <c:noMultiLvlLbl val="0"/>
      </c:catAx>
      <c:valAx>
        <c:axId val="100944331"/>
        <c:scaling>
          <c:orientation val="minMax"/>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3851383"/>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[工作簿1]Sheet1!$B$117</c:f>
              <c:strCache>
                <c:ptCount val="1"/>
                <c:pt idx="0">
                  <c:v>演出场次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[工作簿1]Sheet1!$C$116:$D$116</c:f>
              <c:strCache>
                <c:ptCount val="2"/>
                <c:pt idx="0">
                  <c:v>2019年</c:v>
                </c:pt>
                <c:pt idx="1">
                  <c:v>2021年</c:v>
                </c:pt>
              </c:strCache>
            </c:strRef>
          </c:cat>
          <c:val>
            <c:numRef>
              <c:f>[工作簿1]Sheet1!$C$117:$D$117</c:f>
              <c:numCache>
                <c:formatCode>General</c:formatCode>
                <c:ptCount val="2"/>
                <c:pt idx="0">
                  <c:v>1800</c:v>
                </c:pt>
                <c:pt idx="1">
                  <c:v>300</c:v>
                </c:pt>
              </c:numCache>
            </c:numRef>
          </c:val>
        </c:ser>
        <c:dLbls>
          <c:showLegendKey val="0"/>
          <c:showVal val="1"/>
          <c:showCatName val="0"/>
          <c:showSerName val="0"/>
          <c:showPercent val="0"/>
          <c:showBubbleSize val="0"/>
        </c:dLbls>
        <c:gapWidth val="150"/>
        <c:overlap val="0"/>
        <c:axId val="383951162"/>
        <c:axId val="658605900"/>
      </c:barChart>
      <c:lineChart>
        <c:grouping val="standard"/>
        <c:varyColors val="0"/>
        <c:ser>
          <c:idx val="1"/>
          <c:order val="1"/>
          <c:tx>
            <c:strRef>
              <c:f>[工作簿1]Sheet1!$B$118</c:f>
              <c:strCache>
                <c:ptCount val="1"/>
                <c:pt idx="0">
                  <c:v>接待游客人次</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[工作簿1]Sheet1!$C$116:$D$116</c:f>
              <c:strCache>
                <c:ptCount val="2"/>
                <c:pt idx="0">
                  <c:v>2019年</c:v>
                </c:pt>
                <c:pt idx="1">
                  <c:v>2021年</c:v>
                </c:pt>
              </c:strCache>
            </c:strRef>
          </c:cat>
          <c:val>
            <c:numRef>
              <c:f>[工作簿1]Sheet1!$C$118:$D$118</c:f>
              <c:numCache>
                <c:formatCode>General</c:formatCode>
                <c:ptCount val="2"/>
                <c:pt idx="0">
                  <c:v>176400</c:v>
                </c:pt>
                <c:pt idx="1">
                  <c:v>28000</c:v>
                </c:pt>
              </c:numCache>
            </c:numRef>
          </c:val>
          <c:smooth val="0"/>
        </c:ser>
        <c:dLbls>
          <c:showLegendKey val="0"/>
          <c:showVal val="1"/>
          <c:showCatName val="0"/>
          <c:showSerName val="0"/>
          <c:showPercent val="0"/>
          <c:showBubbleSize val="0"/>
        </c:dLbls>
        <c:marker val="0"/>
        <c:smooth val="0"/>
        <c:axId val="741491865"/>
        <c:axId val="726218115"/>
      </c:lineChart>
      <c:catAx>
        <c:axId val="38395116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8605900"/>
        <c:crosses val="autoZero"/>
        <c:auto val="1"/>
        <c:lblAlgn val="ctr"/>
        <c:lblOffset val="100"/>
        <c:noMultiLvlLbl val="0"/>
      </c:catAx>
      <c:valAx>
        <c:axId val="658605900"/>
        <c:scaling>
          <c:orientation val="minMax"/>
        </c:scaling>
        <c:delete val="0"/>
        <c:axPos val="l"/>
        <c:majorGridlines>
          <c:spPr>
            <a:ln w="9525" cap="flat" cmpd="sng" algn="ctr">
              <a:solidFill>
                <a:schemeClr val="tx1">
                  <a:lumMod val="15000"/>
                  <a:lumOff val="85000"/>
                </a:schemeClr>
              </a:solidFill>
              <a:round/>
            </a:ln>
            <a:effectLst/>
          </c:spPr>
        </c:majorGridlines>
        <c:title>
          <c:layout>
            <c:manualLayout>
              <c:xMode val="edge"/>
              <c:yMode val="edge"/>
              <c:x val="0.0222222222222222"/>
              <c:y val="0.37537037037037"/>
            </c:manualLayout>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3951162"/>
        <c:crosses val="autoZero"/>
        <c:crossBetween val="between"/>
      </c:valAx>
      <c:catAx>
        <c:axId val="741491865"/>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6218115"/>
        <c:crosses val="autoZero"/>
        <c:auto val="1"/>
        <c:lblAlgn val="ctr"/>
        <c:lblOffset val="100"/>
        <c:noMultiLvlLbl val="0"/>
      </c:catAx>
      <c:valAx>
        <c:axId val="726218115"/>
        <c:scaling>
          <c:orientation val="minMax"/>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491865"/>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[工作簿1.xlsx]Sheet1!$M$184</c:f>
              <c:strCache>
                <c:ptCount val="1"/>
                <c:pt idx="0">
                  <c:v>数量</c:v>
                </c:pt>
              </c:strCache>
            </c:strRef>
          </c:tx>
          <c:spPr>
            <a:scene3d>
              <a:camera prst="orthographicFront"/>
              <a:lightRig rig="threePt" dir="t"/>
            </a:scene3d>
            <a:sp3d contourW="25400"/>
          </c:spPr>
          <c:explosion val="0"/>
          <c:dPt>
            <c:idx val="0"/>
            <c:bubble3D val="0"/>
            <c:spPr>
              <a:solidFill>
                <a:schemeClr val="accent6"/>
              </a:solidFill>
              <a:ln w="25400">
                <a:solidFill>
                  <a:schemeClr val="lt1"/>
                </a:solidFill>
              </a:ln>
              <a:effectLst/>
              <a:scene3d>
                <a:camera prst="orthographicFront"/>
                <a:lightRig rig="threePt" dir="t"/>
              </a:scene3d>
              <a:sp3d contourW="25400"/>
            </c:spPr>
          </c:dPt>
          <c:dPt>
            <c:idx val="1"/>
            <c:bubble3D val="0"/>
            <c:spPr>
              <a:solidFill>
                <a:schemeClr val="accent5"/>
              </a:solidFill>
              <a:ln w="25400">
                <a:solidFill>
                  <a:schemeClr val="lt1"/>
                </a:solidFill>
              </a:ln>
              <a:effectLst/>
              <a:scene3d>
                <a:camera prst="orthographicFront"/>
                <a:lightRig rig="threePt" dir="t"/>
              </a:scene3d>
              <a:sp3d contourW="25400"/>
            </c:spPr>
          </c:dPt>
          <c:dPt>
            <c:idx val="2"/>
            <c:bubble3D val="0"/>
            <c:spPr>
              <a:solidFill>
                <a:schemeClr val="accent4"/>
              </a:solidFill>
              <a:ln w="25400">
                <a:solidFill>
                  <a:schemeClr val="lt1"/>
                </a:solidFill>
              </a:ln>
              <a:effectLst/>
              <a:scene3d>
                <a:camera prst="orthographicFront"/>
                <a:lightRig rig="threePt" dir="t"/>
              </a:scene3d>
              <a:sp3d contourW="25400"/>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sz="1200"/>
                      <a:t>91（</a:t>
                    </a:r>
                    <a:r>
                      <a:rPr lang="en-US" altLang="zh-CN" sz="1200"/>
                      <a:t>67.4%</a:t>
                    </a:r>
                    <a:r>
                      <a:rPr sz="1200"/>
                      <a:t>）</a:t>
                    </a:r>
                    <a:endParaRPr sz="1200"/>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166666666666667"/>
                  <c:y val="0.18888888888888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sz="1200"/>
                      <a:t>18（</a:t>
                    </a:r>
                    <a:r>
                      <a:rPr lang="en-US" altLang="zh-CN" sz="1200"/>
                      <a:t>13.3%</a:t>
                    </a:r>
                    <a:r>
                      <a:rPr sz="1200"/>
                      <a:t>）</a:t>
                    </a:r>
                    <a:endParaRPr sz="1200"/>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sz="1200"/>
                      <a:t>26（</a:t>
                    </a:r>
                    <a:r>
                      <a:rPr lang="en-US" altLang="zh-CN" sz="1200"/>
                      <a:t>19.3%</a:t>
                    </a:r>
                    <a:r>
                      <a:rPr sz="1200"/>
                      <a:t>）</a:t>
                    </a:r>
                    <a:endParaRPr sz="1200"/>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[工作簿1.xlsx]Sheet1!$L$185:$L$187</c:f>
              <c:strCache>
                <c:ptCount val="3"/>
                <c:pt idx="0">
                  <c:v>自主经营</c:v>
                </c:pt>
                <c:pt idx="1">
                  <c:v>委托经营</c:v>
                </c:pt>
                <c:pt idx="2">
                  <c:v>场团合一</c:v>
                </c:pt>
              </c:strCache>
            </c:strRef>
          </c:cat>
          <c:val>
            <c:numRef>
              <c:f>[工作簿1.xlsx]Sheet1!$M$185:$M$187</c:f>
              <c:numCache>
                <c:formatCode>General</c:formatCode>
                <c:ptCount val="3"/>
                <c:pt idx="0">
                  <c:v>91</c:v>
                </c:pt>
                <c:pt idx="1">
                  <c:v>18</c:v>
                </c:pt>
                <c:pt idx="2">
                  <c:v>26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[工作簿1]Sheet1!$B$140</c:f>
              <c:strCache>
                <c:ptCount val="1"/>
                <c:pt idx="0">
                  <c:v>演出场次</c:v>
                </c:pt>
              </c:strCache>
            </c:strRef>
          </c:tx>
          <c:spPr>
            <a:solidFill>
              <a:schemeClr val="accent1"/>
            </a:solidFill>
            <a:ln>
              <a:noFill/>
            </a:ln>
            <a:effectLst/>
          </c:spPr>
          <c:invertIfNegative val="0"/>
          <c:dLbls>
            <c:delete val="1"/>
          </c:dLbls>
          <c:cat>
            <c:strRef>
              <c:f>[工作簿1]Sheet1!$C$139:$D$139</c:f>
              <c:strCache>
                <c:ptCount val="2"/>
                <c:pt idx="0">
                  <c:v>2019年</c:v>
                </c:pt>
                <c:pt idx="1">
                  <c:v>2021年</c:v>
                </c:pt>
              </c:strCache>
            </c:strRef>
          </c:cat>
          <c:val>
            <c:numRef>
              <c:f>[工作簿1]Sheet1!$C$140:$D$140</c:f>
              <c:numCache>
                <c:formatCode>General</c:formatCode>
                <c:ptCount val="2"/>
                <c:pt idx="0">
                  <c:v>506</c:v>
                </c:pt>
                <c:pt idx="1">
                  <c:v>168</c:v>
                </c:pt>
              </c:numCache>
            </c:numRef>
          </c:val>
        </c:ser>
        <c:dLbls>
          <c:showLegendKey val="0"/>
          <c:showVal val="1"/>
          <c:showCatName val="0"/>
          <c:showSerName val="0"/>
          <c:showPercent val="0"/>
          <c:showBubbleSize val="0"/>
        </c:dLbls>
        <c:gapWidth val="150"/>
        <c:overlap val="0"/>
        <c:axId val="787099163"/>
        <c:axId val="739967272"/>
      </c:barChart>
      <c:lineChart>
        <c:grouping val="standard"/>
        <c:varyColors val="0"/>
        <c:ser>
          <c:idx val="1"/>
          <c:order val="1"/>
          <c:tx>
            <c:strRef>
              <c:f>[工作簿1]Sheet1!$B$141</c:f>
              <c:strCache>
                <c:ptCount val="1"/>
                <c:pt idx="0">
                  <c:v>接待游客人次</c:v>
                </c:pt>
              </c:strCache>
            </c:strRef>
          </c:tx>
          <c:spPr>
            <a:ln w="28575" cap="rnd">
              <a:solidFill>
                <a:schemeClr val="accent2"/>
              </a:solidFill>
              <a:round/>
            </a:ln>
            <a:effectLst/>
          </c:spPr>
          <c:marker>
            <c:symbol val="none"/>
          </c:marker>
          <c:dLbls>
            <c:delete val="1"/>
          </c:dLbls>
          <c:cat>
            <c:strRef>
              <c:f>[工作簿1]Sheet1!$C$139:$D$139</c:f>
              <c:strCache>
                <c:ptCount val="2"/>
                <c:pt idx="0">
                  <c:v>2019年</c:v>
                </c:pt>
                <c:pt idx="1">
                  <c:v>2021年</c:v>
                </c:pt>
              </c:strCache>
            </c:strRef>
          </c:cat>
          <c:val>
            <c:numRef>
              <c:f>[工作簿1]Sheet1!$C$141:$D$141</c:f>
              <c:numCache>
                <c:formatCode>General</c:formatCode>
                <c:ptCount val="2"/>
                <c:pt idx="0">
                  <c:v>202400</c:v>
                </c:pt>
                <c:pt idx="1">
                  <c:v>20150</c:v>
                </c:pt>
              </c:numCache>
            </c:numRef>
          </c:val>
          <c:smooth val="0"/>
        </c:ser>
        <c:dLbls>
          <c:showLegendKey val="0"/>
          <c:showVal val="1"/>
          <c:showCatName val="0"/>
          <c:showSerName val="0"/>
          <c:showPercent val="0"/>
          <c:showBubbleSize val="0"/>
        </c:dLbls>
        <c:marker val="0"/>
        <c:smooth val="0"/>
        <c:axId val="927647230"/>
        <c:axId val="996532350"/>
      </c:lineChart>
      <c:catAx>
        <c:axId val="78709916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39967272"/>
        <c:crosses val="autoZero"/>
        <c:auto val="1"/>
        <c:lblAlgn val="ctr"/>
        <c:lblOffset val="100"/>
        <c:noMultiLvlLbl val="0"/>
      </c:catAx>
      <c:valAx>
        <c:axId val="739967272"/>
        <c:scaling>
          <c:orientation val="minMax"/>
        </c:scaling>
        <c:delete val="0"/>
        <c:axPos val="l"/>
        <c:majorGridlines>
          <c:spPr>
            <a:ln w="9525" cap="flat" cmpd="sng" algn="ctr">
              <a:solidFill>
                <a:schemeClr val="tx1">
                  <a:lumMod val="15000"/>
                  <a:lumOff val="850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87099163"/>
        <c:crosses val="autoZero"/>
        <c:crossBetween val="between"/>
      </c:valAx>
      <c:catAx>
        <c:axId val="927647230"/>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96532350"/>
        <c:crosses val="autoZero"/>
        <c:auto val="1"/>
        <c:lblAlgn val="ctr"/>
        <c:lblOffset val="100"/>
        <c:noMultiLvlLbl val="0"/>
      </c:catAx>
      <c:valAx>
        <c:axId val="996532350"/>
        <c:scaling>
          <c:orientation val="minMax"/>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27647230"/>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[工作簿1]Sheet1!$B$166</c:f>
              <c:strCache>
                <c:ptCount val="1"/>
                <c:pt idx="0">
                  <c:v>演出场次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[工作簿1]Sheet1!$C$165:$D$165</c:f>
              <c:strCache>
                <c:ptCount val="2"/>
                <c:pt idx="0">
                  <c:v>2019年</c:v>
                </c:pt>
                <c:pt idx="1">
                  <c:v>2021年</c:v>
                </c:pt>
              </c:strCache>
            </c:strRef>
          </c:cat>
          <c:val>
            <c:numRef>
              <c:f>[工作簿1]Sheet1!$C$166:$D$166</c:f>
              <c:numCache>
                <c:formatCode>General</c:formatCode>
                <c:ptCount val="2"/>
                <c:pt idx="0">
                  <c:v>300</c:v>
                </c:pt>
                <c:pt idx="1">
                  <c:v>280</c:v>
                </c:pt>
              </c:numCache>
            </c:numRef>
          </c:val>
        </c:ser>
        <c:dLbls>
          <c:showLegendKey val="0"/>
          <c:showVal val="1"/>
          <c:showCatName val="0"/>
          <c:showSerName val="0"/>
          <c:showPercent val="0"/>
          <c:showBubbleSize val="0"/>
        </c:dLbls>
        <c:gapWidth val="150"/>
        <c:overlap val="0"/>
        <c:axId val="52534090"/>
        <c:axId val="861162016"/>
      </c:barChart>
      <c:lineChart>
        <c:grouping val="standard"/>
        <c:varyColors val="0"/>
        <c:ser>
          <c:idx val="1"/>
          <c:order val="1"/>
          <c:tx>
            <c:strRef>
              <c:f>[工作簿1]Sheet1!$B$167</c:f>
              <c:strCache>
                <c:ptCount val="1"/>
                <c:pt idx="0">
                  <c:v>接待游客人次</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[工作簿1]Sheet1!$C$165:$D$165</c:f>
              <c:strCache>
                <c:ptCount val="2"/>
                <c:pt idx="0">
                  <c:v>2019年</c:v>
                </c:pt>
                <c:pt idx="1">
                  <c:v>2021年</c:v>
                </c:pt>
              </c:strCache>
            </c:strRef>
          </c:cat>
          <c:val>
            <c:numRef>
              <c:f>[工作簿1]Sheet1!$C$167:$D$167</c:f>
              <c:numCache>
                <c:formatCode>General</c:formatCode>
                <c:ptCount val="2"/>
                <c:pt idx="0">
                  <c:v>19000</c:v>
                </c:pt>
                <c:pt idx="1">
                  <c:v>15000</c:v>
                </c:pt>
              </c:numCache>
            </c:numRef>
          </c:val>
          <c:smooth val="0"/>
        </c:ser>
        <c:dLbls>
          <c:showLegendKey val="0"/>
          <c:showVal val="1"/>
          <c:showCatName val="0"/>
          <c:showSerName val="0"/>
          <c:showPercent val="0"/>
          <c:showBubbleSize val="0"/>
        </c:dLbls>
        <c:marker val="0"/>
        <c:smooth val="0"/>
        <c:axId val="278532247"/>
        <c:axId val="910415644"/>
      </c:lineChart>
      <c:catAx>
        <c:axId val="5253409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61162016"/>
        <c:crosses val="autoZero"/>
        <c:auto val="1"/>
        <c:lblAlgn val="ctr"/>
        <c:lblOffset val="100"/>
        <c:noMultiLvlLbl val="0"/>
      </c:catAx>
      <c:valAx>
        <c:axId val="861162016"/>
        <c:scaling>
          <c:orientation val="minMax"/>
        </c:scaling>
        <c:delete val="0"/>
        <c:axPos val="l"/>
        <c:majorGridlines>
          <c:spPr>
            <a:ln w="9525" cap="flat" cmpd="sng" algn="ctr">
              <a:solidFill>
                <a:schemeClr val="tx1">
                  <a:lumMod val="15000"/>
                  <a:lumOff val="850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52534090"/>
        <c:crosses val="autoZero"/>
        <c:crossBetween val="between"/>
      </c:valAx>
      <c:catAx>
        <c:axId val="278532247"/>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10415644"/>
        <c:crosses val="autoZero"/>
        <c:auto val="1"/>
        <c:lblAlgn val="ctr"/>
        <c:lblOffset val="100"/>
        <c:noMultiLvlLbl val="0"/>
      </c:catAx>
      <c:valAx>
        <c:axId val="910415644"/>
        <c:scaling>
          <c:orientation val="minMax"/>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8532247"/>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6166666666667"/>
          <c:y val="0.163425925925926"/>
          <c:w val="0.599111111111111"/>
          <c:h val="0.696203703703704"/>
        </c:manualLayout>
      </c:layout>
      <c:barChart>
        <c:barDir val="col"/>
        <c:grouping val="clustered"/>
        <c:varyColors val="0"/>
        <c:ser>
          <c:idx val="0"/>
          <c:order val="0"/>
          <c:tx>
            <c:strRef>
              <c:f>[工作簿1]Sheet1!$H$10</c:f>
              <c:strCache>
                <c:ptCount val="1"/>
                <c:pt idx="0">
                  <c:v>平均每场接待游客人次</c:v>
                </c:pt>
              </c:strCache>
            </c:strRef>
          </c:tx>
          <c:spPr>
            <a:solidFill>
              <a:schemeClr val="accent1"/>
            </a:solidFill>
            <a:ln>
              <a:noFill/>
            </a:ln>
            <a:effectLst/>
          </c:spPr>
          <c:invertIfNegative val="0"/>
          <c:dLbls>
            <c:delete val="1"/>
          </c:dLbls>
          <c:cat>
            <c:strRef>
              <c:f>[工作簿1]Sheet1!$G$11:$G$12</c:f>
              <c:strCache>
                <c:ptCount val="2"/>
                <c:pt idx="0">
                  <c:v>2019年</c:v>
                </c:pt>
                <c:pt idx="1">
                  <c:v>2021年</c:v>
                </c:pt>
              </c:strCache>
            </c:strRef>
          </c:cat>
          <c:val>
            <c:numRef>
              <c:f>[工作簿1]Sheet1!$H$11:$H$12</c:f>
              <c:numCache>
                <c:formatCode>General</c:formatCode>
                <c:ptCount val="2"/>
                <c:pt idx="0">
                  <c:v>252</c:v>
                </c:pt>
                <c:pt idx="1">
                  <c:v>181</c:v>
                </c:pt>
              </c:numCache>
            </c:numRef>
          </c:val>
        </c:ser>
        <c:dLbls>
          <c:showLegendKey val="0"/>
          <c:showVal val="0"/>
          <c:showCatName val="0"/>
          <c:showSerName val="0"/>
          <c:showPercent val="0"/>
          <c:showBubbleSize val="0"/>
        </c:dLbls>
        <c:gapWidth val="219"/>
        <c:overlap val="-27"/>
        <c:axId val="460743798"/>
        <c:axId val="597251815"/>
      </c:barChart>
      <c:catAx>
        <c:axId val="46074379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7251815"/>
        <c:crosses val="autoZero"/>
        <c:auto val="1"/>
        <c:lblAlgn val="ctr"/>
        <c:lblOffset val="100"/>
        <c:noMultiLvlLbl val="0"/>
      </c:catAx>
      <c:valAx>
        <c:axId val="597251815"/>
        <c:scaling>
          <c:orientation val="minMax"/>
        </c:scaling>
        <c:delete val="0"/>
        <c:axPos val="l"/>
        <c:majorGridlines>
          <c:spPr>
            <a:ln w="9525" cap="flat" cmpd="sng" algn="ctr">
              <a:solidFill>
                <a:schemeClr val="tx1">
                  <a:lumMod val="15000"/>
                  <a:lumOff val="850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074379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[工作簿1]Sheet1!$B$210:$B$213</c:f>
              <c:strCache>
                <c:ptCount val="4"/>
                <c:pt idx="0">
                  <c:v>主题公园类项目（个）</c:v>
                </c:pt>
                <c:pt idx="1">
                  <c:v>戏剧幻城”实景演艺类</c:v>
                </c:pt>
                <c:pt idx="2">
                  <c:v>实景类</c:v>
                </c:pt>
                <c:pt idx="3">
                  <c:v>剧场类</c:v>
                </c:pt>
              </c:strCache>
            </c:strRef>
          </c:cat>
          <c:val>
            <c:numRef>
              <c:f>[工作簿1]Sheet1!$C$210:$C$213</c:f>
              <c:numCache>
                <c:formatCode>General</c:formatCode>
                <c:ptCount val="4"/>
                <c:pt idx="0">
                  <c:v>1</c:v>
                </c:pt>
                <c:pt idx="1">
                  <c:v>1</c:v>
                </c:pt>
                <c:pt idx="2">
                  <c:v>15</c:v>
                </c:pt>
                <c:pt idx="3">
                  <c:v>16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[工作簿1]Sheet1!$B$71:$B$72</c:f>
              <c:strCache>
                <c:ptCount val="2"/>
                <c:pt idx="0">
                  <c:v>男性</c:v>
                </c:pt>
                <c:pt idx="1">
                  <c:v>女性</c:v>
                </c:pt>
              </c:strCache>
            </c:strRef>
          </c:cat>
          <c:val>
            <c:numRef>
              <c:f>[工作簿1]Sheet1!$C$71:$C$72</c:f>
              <c:numCache>
                <c:formatCode>0.00%</c:formatCode>
                <c:ptCount val="2"/>
                <c:pt idx="0">
                  <c:v>0.298</c:v>
                </c:pt>
                <c:pt idx="1">
                  <c:v>0.702</c:v>
                </c:pt>
              </c:numCache>
            </c:numRef>
          </c:val>
        </c:ser>
        <c:dLbls>
          <c:showLegendKey val="0"/>
          <c:showVal val="0"/>
          <c:showCatName val="1"/>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4"/>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explosion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explosion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explosion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2"/>
                        </a:solidFill>
                        <a:latin typeface="+mn-lt"/>
                        <a:ea typeface="+mn-ea"/>
                        <a:cs typeface="+mn-cs"/>
                      </a:defRPr>
                    </a:pPr>
                    <a:r>
                      <a:t>企业白领38</a:t>
                    </a:r>
                    <a:r>
                      <a:rPr lang="en-US" altLang="zh-CN"/>
                      <a:t>.2</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0945034506583574"/>
                  <c:y val="-0.14722222222222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2"/>
                        </a:solidFill>
                        <a:latin typeface="+mn-lt"/>
                        <a:ea typeface="+mn-ea"/>
                        <a:cs typeface="+mn-cs"/>
                      </a:defRPr>
                    </a:pPr>
                    <a:r>
                      <a:t>政府机关/事业单位人员1</a:t>
                    </a:r>
                    <a:r>
                      <a:rPr lang="en-US" altLang="zh-CN"/>
                      <a:t>8.7</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2"/>
                        </a:solidFill>
                        <a:latin typeface="+mn-lt"/>
                        <a:ea typeface="+mn-ea"/>
                        <a:cs typeface="+mn-cs"/>
                      </a:defRPr>
                    </a:pPr>
                    <a:r>
                      <a:t>学生14</a:t>
                    </a:r>
                    <a:r>
                      <a:rPr lang="en-US" altLang="zh-CN"/>
                      <a:t>.1</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2"/>
                        </a:solidFill>
                        <a:latin typeface="+mn-lt"/>
                        <a:ea typeface="+mn-ea"/>
                        <a:cs typeface="+mn-cs"/>
                      </a:defRPr>
                    </a:pPr>
                    <a:r>
                      <a:t>教师13</a:t>
                    </a:r>
                    <a:r>
                      <a:rPr lang="en-US" altLang="zh-CN"/>
                      <a:t>.0</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0.0363183333847882"/>
                  <c:y val="0.060097777972577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2"/>
                        </a:solidFill>
                        <a:latin typeface="+mn-lt"/>
                        <a:ea typeface="+mn-ea"/>
                        <a:cs typeface="+mn-cs"/>
                      </a:defRPr>
                    </a:pPr>
                    <a:r>
                      <a:t>个体经营者</a:t>
                    </a:r>
                  </a:p>
                  <a:p>
                    <a:pPr defTabSz="914400">
                      <a:defRPr lang="zh-CN" sz="900" b="0" i="0" u="none" strike="noStrike" kern="1200" baseline="0">
                        <a:solidFill>
                          <a:schemeClr val="tx2"/>
                        </a:solidFill>
                        <a:latin typeface="+mn-lt"/>
                        <a:ea typeface="+mn-ea"/>
                        <a:cs typeface="+mn-cs"/>
                      </a:defRPr>
                    </a:pPr>
                    <a:r>
                      <a:rPr lang="en-US" altLang="zh-CN"/>
                      <a:t>5.8</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461361826895232"/>
                  <c:y val="0"/>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2"/>
                        </a:solidFill>
                        <a:latin typeface="+mn-lt"/>
                        <a:ea typeface="+mn-ea"/>
                        <a:cs typeface="+mn-cs"/>
                      </a:defRPr>
                    </a:pPr>
                    <a:r>
                      <a:t>待业/下岗/离退休人员1</a:t>
                    </a:r>
                    <a:r>
                      <a:rPr lang="en-US" altLang="zh-CN"/>
                      <a:t>.2</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3627989008058"/>
                  <c:y val="0.1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[工作簿1]Sheet1!$B$6:$B$12</c:f>
              <c:strCache>
                <c:ptCount val="7"/>
                <c:pt idx="0">
                  <c:v>企业白领</c:v>
                </c:pt>
                <c:pt idx="1">
                  <c:v>政府机关/事业单位人员</c:v>
                </c:pt>
                <c:pt idx="2">
                  <c:v>学生</c:v>
                </c:pt>
                <c:pt idx="3">
                  <c:v>教师</c:v>
                </c:pt>
                <c:pt idx="4">
                  <c:v>个体经营者</c:v>
                </c:pt>
                <c:pt idx="5">
                  <c:v>待业/下岗/离退休人员</c:v>
                </c:pt>
                <c:pt idx="6">
                  <c:v>其他</c:v>
                </c:pt>
              </c:strCache>
            </c:strRef>
          </c:cat>
          <c:val>
            <c:numRef>
              <c:f>[工作簿1]Sheet1!$C$6:$C$12</c:f>
              <c:numCache>
                <c:formatCode>0.00%</c:formatCode>
                <c:ptCount val="7"/>
                <c:pt idx="0">
                  <c:v>0.382</c:v>
                </c:pt>
                <c:pt idx="1">
                  <c:v>0.187</c:v>
                </c:pt>
                <c:pt idx="2">
                  <c:v>0.141</c:v>
                </c:pt>
                <c:pt idx="3">
                  <c:v>0.13</c:v>
                </c:pt>
                <c:pt idx="4">
                  <c:v>0.058</c:v>
                </c:pt>
                <c:pt idx="5">
                  <c:v>0.012</c:v>
                </c:pt>
                <c:pt idx="6" c:formatCode="0%">
                  <c:v>0.09</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8"/>
          <c:order val="0"/>
          <c:tx>
            <c:strRef>
              <c:f>[工作簿1]Sheet1!$B$32</c:f>
              <c:strCache>
                <c:ptCount val="1"/>
                <c:pt idx="0">
                  <c:v>其他</c:v>
                </c:pt>
              </c:strCache>
            </c:strRef>
          </c:tx>
          <c:spPr>
            <a:solidFill>
              <a:schemeClr val="accent3">
                <a:lumMod val="60000"/>
              </a:schemeClr>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[工作簿1]Sheet1!$C$32</c:f>
              <c:numCache>
                <c:formatCode>0.00%</c:formatCode>
                <c:ptCount val="1"/>
                <c:pt idx="0">
                  <c:v>0.012</c:v>
                </c:pt>
              </c:numCache>
            </c:numRef>
          </c:val>
        </c:ser>
        <c:ser>
          <c:idx val="7"/>
          <c:order val="1"/>
          <c:tx>
            <c:strRef>
              <c:f>[工作簿1]Sheet1!$B$31</c:f>
              <c:strCache>
                <c:ptCount val="1"/>
                <c:pt idx="0">
                  <c:v>脱口秀</c:v>
                </c:pt>
              </c:strCache>
            </c:strRef>
          </c:tx>
          <c:spPr>
            <a:solidFill>
              <a:schemeClr val="accent2">
                <a:lumMod val="60000"/>
              </a:schemeClr>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[工作簿1]Sheet1!$C$31</c:f>
              <c:numCache>
                <c:formatCode>0.00%</c:formatCode>
                <c:ptCount val="1"/>
                <c:pt idx="0">
                  <c:v>0.012</c:v>
                </c:pt>
              </c:numCache>
            </c:numRef>
          </c:val>
        </c:ser>
        <c:ser>
          <c:idx val="6"/>
          <c:order val="2"/>
          <c:tx>
            <c:strRef>
              <c:f>[工作簿1]Sheet1!$B$30</c:f>
              <c:strCache>
                <c:ptCount val="1"/>
                <c:pt idx="0">
                  <c:v>曲艺杂技</c:v>
                </c:pt>
              </c:strCache>
            </c:strRef>
          </c:tx>
          <c:spPr>
            <a:solidFill>
              <a:schemeClr val="accent1">
                <a:lumMod val="60000"/>
              </a:schemeClr>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[工作簿1]Sheet1!$C$30</c:f>
              <c:numCache>
                <c:formatCode>0.00%</c:formatCode>
                <c:ptCount val="1"/>
                <c:pt idx="0">
                  <c:v>0.023</c:v>
                </c:pt>
              </c:numCache>
            </c:numRef>
          </c:val>
        </c:ser>
        <c:ser>
          <c:idx val="5"/>
          <c:order val="3"/>
          <c:tx>
            <c:strRef>
              <c:f>[工作簿1]Sheet1!$B$29</c:f>
              <c:strCache>
                <c:ptCount val="1"/>
                <c:pt idx="0">
                  <c:v>舞剧</c:v>
                </c:pt>
              </c:strCache>
            </c:strRef>
          </c:tx>
          <c:spPr>
            <a:solidFill>
              <a:schemeClr val="accent6"/>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[工作簿1]Sheet1!$C$29</c:f>
              <c:numCache>
                <c:formatCode>0.00%</c:formatCode>
                <c:ptCount val="1"/>
                <c:pt idx="0">
                  <c:v>0.035</c:v>
                </c:pt>
              </c:numCache>
            </c:numRef>
          </c:val>
        </c:ser>
        <c:ser>
          <c:idx val="4"/>
          <c:order val="4"/>
          <c:tx>
            <c:strRef>
              <c:f>[工作簿1]Sheet1!$B$28</c:f>
              <c:strCache>
                <c:ptCount val="1"/>
                <c:pt idx="0">
                  <c:v>音乐剧/歌剧</c:v>
                </c:pt>
              </c:strCache>
            </c:strRef>
          </c:tx>
          <c:spPr>
            <a:solidFill>
              <a:schemeClr val="accent5"/>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[工作簿1]Sheet1!$C$28</c:f>
              <c:numCache>
                <c:formatCode>0.00%</c:formatCode>
                <c:ptCount val="1"/>
                <c:pt idx="0">
                  <c:v>0.057</c:v>
                </c:pt>
              </c:numCache>
            </c:numRef>
          </c:val>
        </c:ser>
        <c:ser>
          <c:idx val="3"/>
          <c:order val="5"/>
          <c:tx>
            <c:strRef>
              <c:f>[工作簿1]Sheet1!$B$27</c:f>
              <c:strCache>
                <c:ptCount val="1"/>
                <c:pt idx="0">
                  <c:v>儿童剧</c:v>
                </c:pt>
              </c:strCache>
            </c:strRef>
          </c:tx>
          <c:spPr>
            <a:solidFill>
              <a:schemeClr val="accent4"/>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[工作簿1]Sheet1!$C$27</c:f>
              <c:numCache>
                <c:formatCode>0.00%</c:formatCode>
                <c:ptCount val="1"/>
                <c:pt idx="0">
                  <c:v>0.112</c:v>
                </c:pt>
              </c:numCache>
            </c:numRef>
          </c:val>
        </c:ser>
        <c:ser>
          <c:idx val="2"/>
          <c:order val="6"/>
          <c:tx>
            <c:strRef>
              <c:f>[工作簿1]Sheet1!$B$26</c:f>
              <c:strCache>
                <c:ptCount val="1"/>
                <c:pt idx="0">
                  <c:v>演唱会、livehouse、音乐节</c:v>
                </c:pt>
              </c:strCache>
            </c:strRef>
          </c:tx>
          <c:spPr>
            <a:solidFill>
              <a:schemeClr val="accent3"/>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[工作簿1]Sheet1!$C$26</c:f>
              <c:numCache>
                <c:formatCode>0.00%</c:formatCode>
                <c:ptCount val="1"/>
                <c:pt idx="0">
                  <c:v>0.194</c:v>
                </c:pt>
              </c:numCache>
            </c:numRef>
          </c:val>
        </c:ser>
        <c:ser>
          <c:idx val="1"/>
          <c:order val="7"/>
          <c:tx>
            <c:strRef>
              <c:f>[工作簿1]Sheet1!$B$25</c:f>
              <c:strCache>
                <c:ptCount val="1"/>
                <c:pt idx="0">
                  <c:v>话剧</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[工作簿1]Sheet1!$C$25</c:f>
              <c:numCache>
                <c:formatCode>0.00%</c:formatCode>
                <c:ptCount val="1"/>
                <c:pt idx="0">
                  <c:v>0.272</c:v>
                </c:pt>
              </c:numCache>
            </c:numRef>
          </c:val>
        </c:ser>
        <c:ser>
          <c:idx val="0"/>
          <c:order val="8"/>
          <c:tx>
            <c:strRef>
              <c:f>[工作簿1]Sheet1!$B$24</c:f>
              <c:strCache>
                <c:ptCount val="1"/>
                <c:pt idx="0">
                  <c:v>音乐会</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[工作簿1]Sheet1!$C$24</c:f>
              <c:numCache>
                <c:formatCode>0.00%</c:formatCode>
                <c:ptCount val="1"/>
                <c:pt idx="0">
                  <c:v>0.283</c:v>
                </c:pt>
              </c:numCache>
            </c:numRef>
          </c:val>
        </c:ser>
        <c:dLbls>
          <c:showLegendKey val="0"/>
          <c:showVal val="1"/>
          <c:showCatName val="0"/>
          <c:showSerName val="0"/>
          <c:showPercent val="0"/>
          <c:showBubbleSize val="0"/>
        </c:dLbls>
        <c:gapWidth val="150"/>
        <c:overlap val="-25"/>
        <c:axId val="675238074"/>
        <c:axId val="56233810"/>
      </c:barChart>
      <c:catAx>
        <c:axId val="675238074"/>
        <c:scaling>
          <c:orientation val="minMax"/>
        </c:scaling>
        <c:delete val="1"/>
        <c:axPos val="l"/>
        <c:numFmt formatCode="General" sourceLinked="0"/>
        <c:majorTickMark val="none"/>
        <c:minorTickMark val="none"/>
        <c:tickLblPos val="low"/>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crossAx val="56233810"/>
        <c:crosses val="autoZero"/>
        <c:auto val="1"/>
        <c:lblAlgn val="ctr"/>
        <c:lblOffset val="1"/>
        <c:noMultiLvlLbl val="0"/>
      </c:catAx>
      <c:valAx>
        <c:axId val="56233810"/>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crossAx val="67523807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legend>
    <c:plotVisOnly val="1"/>
    <c:dispBlanksAs val="gap"/>
    <c:showDLblsOverMax val="0"/>
  </c:chart>
  <c:spPr>
    <a:solidFill>
      <a:sysClr val="window" lastClr="FFFFFF"/>
    </a:solidFill>
    <a:ln w="15875" cap="flat" cmpd="sng" algn="ctr">
      <a:solidFill>
        <a:srgbClr val="8597B1"/>
      </a:solid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pitchFamily="2" charset="-122"/>
          <a:ea typeface="微软雅黑" panose="020B0503020204020204" pitchFamily="2" charset="-122"/>
          <a:cs typeface="微软雅黑 Light" panose="020B0502040204020203" pitchFamily="2" charset="-122"/>
          <a:sym typeface="微软雅黑 Light" panose="020B0502040204020203" pitchFamily="2" charset="-122"/>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[工作簿1]Sheet1!$B$51</c:f>
              <c:strCache>
                <c:ptCount val="1"/>
                <c:pt idx="0">
                  <c:v>其他</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[工作簿1]Sheet1!$C$51</c:f>
              <c:numCache>
                <c:formatCode>0.00%</c:formatCode>
                <c:ptCount val="1"/>
                <c:pt idx="0">
                  <c:v>0.011</c:v>
                </c:pt>
              </c:numCache>
            </c:numRef>
          </c:val>
        </c:ser>
        <c:ser>
          <c:idx val="2"/>
          <c:order val="1"/>
          <c:tx>
            <c:strRef>
              <c:f>[工作簿1]Sheet1!$B$50</c:f>
              <c:strCache>
                <c:ptCount val="1"/>
                <c:pt idx="0">
                  <c:v>私人购买</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[工作簿1]Sheet1!$C$50</c:f>
              <c:numCache>
                <c:formatCode>0.00%</c:formatCode>
                <c:ptCount val="1"/>
                <c:pt idx="0">
                  <c:v>0.073</c:v>
                </c:pt>
              </c:numCache>
            </c:numRef>
          </c:val>
        </c:ser>
        <c:ser>
          <c:idx val="1"/>
          <c:order val="2"/>
          <c:tx>
            <c:strRef>
              <c:f>[工作簿1]Sheet1!$B$49</c:f>
              <c:strCache>
                <c:ptCount val="1"/>
                <c:pt idx="0">
                  <c:v>售票窗口现场购买和电话订票</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售票窗口现场购买和电话订票30.20%</a:t>
                    </a:r>
                  </a:p>
                </c:rich>
              </c:tx>
              <c:dLblPos val="outEnd"/>
              <c:showLegendKey val="0"/>
              <c:showVal val="1"/>
              <c:showCatName val="0"/>
              <c:showSerName val="1"/>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[工作簿1]Sheet1!$C$49</c:f>
              <c:numCache>
                <c:formatCode>0.00%</c:formatCode>
                <c:ptCount val="1"/>
                <c:pt idx="0">
                  <c:v>0.302</c:v>
                </c:pt>
              </c:numCache>
            </c:numRef>
          </c:val>
        </c:ser>
        <c:ser>
          <c:idx val="0"/>
          <c:order val="3"/>
          <c:tx>
            <c:strRef>
              <c:f>[工作簿1]Sheet1!$B$48</c:f>
              <c:strCache>
                <c:ptCount val="1"/>
                <c:pt idx="0">
                  <c:v>网络订票</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[工作簿1]Sheet1!$C$48</c:f>
              <c:numCache>
                <c:formatCode>0.00%</c:formatCode>
                <c:ptCount val="1"/>
                <c:pt idx="0">
                  <c:v>0.614</c:v>
                </c:pt>
              </c:numCache>
            </c:numRef>
          </c:val>
        </c:ser>
        <c:dLbls>
          <c:showLegendKey val="0"/>
          <c:showVal val="1"/>
          <c:showCatName val="0"/>
          <c:showSerName val="0"/>
          <c:showPercent val="0"/>
          <c:showBubbleSize val="0"/>
        </c:dLbls>
        <c:gapWidth val="227"/>
        <c:overlap val="-48"/>
        <c:axId val="303682638"/>
        <c:axId val="231944548"/>
      </c:barChart>
      <c:catAx>
        <c:axId val="303682638"/>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1944548"/>
        <c:crosses val="autoZero"/>
        <c:auto val="1"/>
        <c:lblAlgn val="ctr"/>
        <c:lblOffset val="100"/>
        <c:noMultiLvlLbl val="0"/>
      </c:catAx>
      <c:valAx>
        <c:axId val="231944548"/>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368263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演出经纪机构数量（个）</a:t>
            </a:r>
          </a:p>
        </c:rich>
      </c:tx>
      <c:layout/>
      <c:overlay val="0"/>
      <c:spPr>
        <a:noFill/>
        <a:ln>
          <a:noFill/>
        </a:ln>
        <a:effectLst/>
      </c:spPr>
    </c:title>
    <c:autoTitleDeleted val="0"/>
    <c:plotArea>
      <c:layout/>
      <c:barChart>
        <c:barDir val="col"/>
        <c:grouping val="clustered"/>
        <c:varyColors val="0"/>
        <c:ser>
          <c:idx val="0"/>
          <c:order val="0"/>
          <c:tx>
            <c:strRef>
              <c:f>[工作簿1]Sheet1!$C$4</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[工作簿1]Sheet1!$B$5:$B$7</c:f>
              <c:strCache>
                <c:ptCount val="3"/>
                <c:pt idx="0">
                  <c:v>2019年</c:v>
                </c:pt>
                <c:pt idx="1">
                  <c:v>2020年</c:v>
                </c:pt>
                <c:pt idx="2">
                  <c:v>2021年</c:v>
                </c:pt>
              </c:strCache>
            </c:strRef>
          </c:cat>
          <c:val>
            <c:numRef>
              <c:f>[工作簿1]Sheet1!$C$5:$C$7</c:f>
              <c:numCache>
                <c:formatCode>General</c:formatCode>
                <c:ptCount val="3"/>
                <c:pt idx="0">
                  <c:v>191</c:v>
                </c:pt>
                <c:pt idx="1">
                  <c:v>138</c:v>
                </c:pt>
                <c:pt idx="2">
                  <c:v>110</c:v>
                </c:pt>
              </c:numCache>
            </c:numRef>
          </c:val>
        </c:ser>
        <c:dLbls>
          <c:showLegendKey val="0"/>
          <c:showVal val="1"/>
          <c:showCatName val="0"/>
          <c:showSerName val="0"/>
          <c:showPercent val="0"/>
          <c:showBubbleSize val="0"/>
        </c:dLbls>
        <c:gapWidth val="370"/>
        <c:overlap val="0"/>
        <c:axId val="593319236"/>
        <c:axId val="53978711"/>
      </c:barChart>
      <c:lineChart>
        <c:grouping val="standard"/>
        <c:varyColors val="0"/>
        <c:ser>
          <c:idx val="1"/>
          <c:order val="1"/>
          <c:tx>
            <c:strRef>
              <c:f>[工作簿1]Sheet1!$D$4</c:f>
              <c:strCache>
                <c:ptCount val="1"/>
                <c:pt idx="0">
                  <c:v>线性</c:v>
                </c:pt>
              </c:strCache>
            </c:strRef>
          </c:tx>
          <c:spPr>
            <a:ln w="12700" cap="flat" cmpd="sng" algn="ctr">
              <a:solidFill>
                <a:schemeClr val="accent3">
                  <a:shade val="50000"/>
                </a:schemeClr>
              </a:solidFill>
              <a:prstDash val="solid"/>
              <a:miter lim="800000"/>
            </a:ln>
            <a:effectLst/>
            <a:sp3d>
              <a:extrusionClr>
                <a:srgbClr val="FFFFFF"/>
              </a:extrusionClr>
              <a:contourClr>
                <a:srgbClr val="FFFFFF"/>
              </a:contourClr>
            </a:sp3d>
          </c:spPr>
          <c:marker>
            <c:symbol val="none"/>
          </c:marker>
          <c:dLbls>
            <c:delete val="1"/>
          </c:dLbls>
          <c:cat>
            <c:strRef>
              <c:f>[工作簿1]Sheet1!$B$5:$B$7</c:f>
              <c:strCache>
                <c:ptCount val="3"/>
                <c:pt idx="0">
                  <c:v>2019年</c:v>
                </c:pt>
                <c:pt idx="1">
                  <c:v>2020年</c:v>
                </c:pt>
                <c:pt idx="2">
                  <c:v>2021年</c:v>
                </c:pt>
              </c:strCache>
            </c:strRef>
          </c:cat>
          <c:val>
            <c:numRef>
              <c:f>[工作簿1]Sheet1!$D$5:$D$7</c:f>
              <c:numCache>
                <c:formatCode>General</c:formatCode>
                <c:ptCount val="3"/>
                <c:pt idx="0">
                  <c:v>191</c:v>
                </c:pt>
                <c:pt idx="1">
                  <c:v>138</c:v>
                </c:pt>
                <c:pt idx="2">
                  <c:v>110</c:v>
                </c:pt>
              </c:numCache>
            </c:numRef>
          </c:val>
          <c:smooth val="0"/>
        </c:ser>
        <c:dLbls>
          <c:showLegendKey val="0"/>
          <c:showVal val="1"/>
          <c:showCatName val="0"/>
          <c:showSerName val="0"/>
          <c:showPercent val="0"/>
          <c:showBubbleSize val="0"/>
        </c:dLbls>
        <c:marker val="0"/>
        <c:smooth val="0"/>
        <c:axId val="326662407"/>
        <c:axId val="799577799"/>
      </c:lineChart>
      <c:catAx>
        <c:axId val="3266624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9577799"/>
        <c:crosses val="autoZero"/>
        <c:auto val="1"/>
        <c:lblAlgn val="ctr"/>
        <c:lblOffset val="100"/>
        <c:noMultiLvlLbl val="0"/>
      </c:catAx>
      <c:valAx>
        <c:axId val="799577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6662407"/>
        <c:crosses val="autoZero"/>
        <c:crossBetween val="between"/>
      </c:valAx>
      <c:catAx>
        <c:axId val="593319236"/>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978711"/>
        <c:crosses val="autoZero"/>
        <c:auto val="1"/>
        <c:lblAlgn val="ctr"/>
        <c:lblOffset val="100"/>
        <c:noMultiLvlLbl val="0"/>
      </c:catAx>
      <c:valAx>
        <c:axId val="53978711"/>
        <c:scaling>
          <c:orientation val="minMax"/>
        </c:scaling>
        <c:delete val="1"/>
        <c:axPos val="r"/>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3319236"/>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演出经纪机构从业人员数量（个）</a:t>
            </a:r>
          </a:p>
        </c:rich>
      </c:tx>
      <c:layout/>
      <c:overlay val="0"/>
      <c:spPr>
        <a:noFill/>
        <a:ln>
          <a:noFill/>
        </a:ln>
        <a:effectLst/>
      </c:spPr>
    </c:title>
    <c:autoTitleDeleted val="0"/>
    <c:plotArea>
      <c:layout/>
      <c:barChart>
        <c:barDir val="col"/>
        <c:grouping val="clustered"/>
        <c:varyColors val="0"/>
        <c:ser>
          <c:idx val="0"/>
          <c:order val="0"/>
          <c:tx>
            <c:strRef>
              <c:f>[工作簿1]Sheet1!$C$4</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[工作簿1]Sheet1!$B$5:$B$7</c:f>
              <c:strCache>
                <c:ptCount val="3"/>
                <c:pt idx="0">
                  <c:v>2019年</c:v>
                </c:pt>
                <c:pt idx="1">
                  <c:v>2020年</c:v>
                </c:pt>
                <c:pt idx="2">
                  <c:v>2021年</c:v>
                </c:pt>
              </c:strCache>
            </c:strRef>
          </c:cat>
          <c:val>
            <c:numRef>
              <c:f>[工作簿1]Sheet1!$C$5:$C$7</c:f>
              <c:numCache>
                <c:formatCode>General</c:formatCode>
                <c:ptCount val="3"/>
                <c:pt idx="0">
                  <c:v>2998</c:v>
                </c:pt>
                <c:pt idx="1">
                  <c:v>1825</c:v>
                </c:pt>
                <c:pt idx="2">
                  <c:v>1521</c:v>
                </c:pt>
              </c:numCache>
            </c:numRef>
          </c:val>
        </c:ser>
        <c:dLbls>
          <c:showLegendKey val="0"/>
          <c:showVal val="1"/>
          <c:showCatName val="0"/>
          <c:showSerName val="0"/>
          <c:showPercent val="0"/>
          <c:showBubbleSize val="0"/>
        </c:dLbls>
        <c:gapWidth val="370"/>
        <c:overlap val="-27"/>
        <c:axId val="108257171"/>
        <c:axId val="469563245"/>
      </c:barChart>
      <c:lineChart>
        <c:grouping val="standard"/>
        <c:varyColors val="0"/>
        <c:ser>
          <c:idx val="1"/>
          <c:order val="1"/>
          <c:tx>
            <c:strRef>
              <c:f>[工作簿1]Sheet1!$D$4</c:f>
              <c:strCache>
                <c:ptCount val="1"/>
                <c:pt idx="0">
                  <c:v>线性</c:v>
                </c:pt>
              </c:strCache>
            </c:strRef>
          </c:tx>
          <c:spPr>
            <a:ln w="28575" cap="rnd">
              <a:solidFill>
                <a:schemeClr val="accent3"/>
              </a:solidFill>
              <a:round/>
            </a:ln>
            <a:effectLst/>
          </c:spPr>
          <c:marker>
            <c:symbol val="none"/>
          </c:marker>
          <c:dLbls>
            <c:delete val="1"/>
          </c:dLbls>
          <c:cat>
            <c:strRef>
              <c:f>[工作簿1]Sheet1!$B$5:$B$7</c:f>
              <c:strCache>
                <c:ptCount val="3"/>
                <c:pt idx="0">
                  <c:v>2019年</c:v>
                </c:pt>
                <c:pt idx="1">
                  <c:v>2020年</c:v>
                </c:pt>
                <c:pt idx="2">
                  <c:v>2021年</c:v>
                </c:pt>
              </c:strCache>
            </c:strRef>
          </c:cat>
          <c:val>
            <c:numRef>
              <c:f>[工作簿1]Sheet1!$D$5:$D$7</c:f>
              <c:numCache>
                <c:formatCode>General</c:formatCode>
                <c:ptCount val="3"/>
                <c:pt idx="0">
                  <c:v>2998</c:v>
                </c:pt>
                <c:pt idx="1">
                  <c:v>1825</c:v>
                </c:pt>
                <c:pt idx="2">
                  <c:v>1521</c:v>
                </c:pt>
              </c:numCache>
            </c:numRef>
          </c:val>
          <c:smooth val="0"/>
        </c:ser>
        <c:dLbls>
          <c:showLegendKey val="0"/>
          <c:showVal val="1"/>
          <c:showCatName val="0"/>
          <c:showSerName val="0"/>
          <c:showPercent val="0"/>
          <c:showBubbleSize val="0"/>
        </c:dLbls>
        <c:marker val="0"/>
        <c:smooth val="0"/>
        <c:axId val="108257171"/>
        <c:axId val="469563245"/>
      </c:lineChart>
      <c:catAx>
        <c:axId val="10825717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9563245"/>
        <c:crosses val="autoZero"/>
        <c:auto val="1"/>
        <c:lblAlgn val="ctr"/>
        <c:lblOffset val="100"/>
        <c:noMultiLvlLbl val="0"/>
      </c:catAx>
      <c:valAx>
        <c:axId val="46956324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2571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演出经纪机构地域分布</a:t>
            </a:r>
          </a:p>
        </c:rich>
      </c:tx>
      <c:layout/>
      <c:overlay val="0"/>
      <c:spPr>
        <a:noFill/>
        <a:ln>
          <a:noFill/>
        </a:ln>
        <a:effectLst/>
      </c:spPr>
    </c:title>
    <c:autoTitleDeleted val="0"/>
    <c:plotArea>
      <c:layout/>
      <c:pieChart>
        <c:varyColors val="1"/>
        <c:ser>
          <c:idx val="0"/>
          <c:order val="0"/>
          <c:tx>
            <c:strRef>
              <c:f>[工作簿1.xlsx]Sheet1!$M$152</c:f>
              <c:strCache>
                <c:ptCount val="1"/>
                <c:pt idx="0">
                  <c:v>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dLbl>
              <c:idx val="3"/>
              <c:layout>
                <c:manualLayout>
                  <c:x val="-0.113472222222222"/>
                  <c:y val="0.12939814814814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144572187646423"/>
                  <c:y val="0.054924746807112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171485211052527"/>
                  <c:y val="-0.011235920480351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162269882773617"/>
                  <c:y val="-0.067998113670787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0.0526043253309413"/>
                  <c:y val="-0.020431790526438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0.0906731466389155"/>
                  <c:y val="-0.11828434442961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0.0185543574898797"/>
                  <c:y val="-0.048575641350967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0.00384100500837178"/>
                  <c:y val="-0.04230096448859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1"/>
              <c:layout>
                <c:manualLayout>
                  <c:x val="0.060679948828287"/>
                  <c:y val="-0.048997431370324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2"/>
              <c:layout>
                <c:manualLayout>
                  <c:x val="0.0757128180909745"/>
                  <c:y val="0.0017052745674207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[工作簿1.xlsx]Sheet1!$L$153:$L$165</c:f>
              <c:strCache>
                <c:ptCount val="13"/>
                <c:pt idx="0">
                  <c:v>成都（79个）</c:v>
                </c:pt>
                <c:pt idx="1">
                  <c:v>绵阳（6个）</c:v>
                </c:pt>
                <c:pt idx="2">
                  <c:v>南充（5个）</c:v>
                </c:pt>
                <c:pt idx="3">
                  <c:v>泸州（5个）</c:v>
                </c:pt>
                <c:pt idx="4">
                  <c:v>宜宾（3个）</c:v>
                </c:pt>
                <c:pt idx="5">
                  <c:v>德阳（3个）</c:v>
                </c:pt>
                <c:pt idx="6">
                  <c:v>达州（2个）</c:v>
                </c:pt>
                <c:pt idx="7">
                  <c:v>凉山（2个）</c:v>
                </c:pt>
                <c:pt idx="8">
                  <c:v>自贡（1个）</c:v>
                </c:pt>
                <c:pt idx="9">
                  <c:v>攀枝花（1个）</c:v>
                </c:pt>
                <c:pt idx="10">
                  <c:v>广元（1个）</c:v>
                </c:pt>
                <c:pt idx="11">
                  <c:v>乐山（1个）</c:v>
                </c:pt>
                <c:pt idx="12">
                  <c:v>巴中（1个）</c:v>
                </c:pt>
              </c:strCache>
            </c:strRef>
          </c:cat>
          <c:val>
            <c:numRef>
              <c:f>[工作簿1.xlsx]Sheet1!$M$153:$M$165</c:f>
              <c:numCache>
                <c:formatCode>General</c:formatCode>
                <c:ptCount val="13"/>
                <c:pt idx="0">
                  <c:v>79</c:v>
                </c:pt>
                <c:pt idx="1">
                  <c:v>6</c:v>
                </c:pt>
                <c:pt idx="2">
                  <c:v>5</c:v>
                </c:pt>
                <c:pt idx="3">
                  <c:v>5</c:v>
                </c:pt>
                <c:pt idx="4">
                  <c:v>3</c:v>
                </c:pt>
                <c:pt idx="5">
                  <c:v>3</c:v>
                </c:pt>
                <c:pt idx="6">
                  <c:v>2</c:v>
                </c:pt>
                <c:pt idx="7">
                  <c:v>2</c:v>
                </c:pt>
                <c:pt idx="8">
                  <c:v>1</c:v>
                </c:pt>
                <c:pt idx="9">
                  <c:v>1</c:v>
                </c:pt>
                <c:pt idx="10">
                  <c:v>1</c:v>
                </c:pt>
                <c:pt idx="11">
                  <c:v>1</c:v>
                </c:pt>
                <c:pt idx="1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演出经纪机构营业收入（万元）</a:t>
            </a:r>
          </a:p>
        </c:rich>
      </c:tx>
      <c:layout/>
      <c:overlay val="0"/>
      <c:spPr>
        <a:noFill/>
        <a:ln>
          <a:noFill/>
        </a:ln>
        <a:effectLst/>
      </c:spPr>
    </c:title>
    <c:autoTitleDeleted val="0"/>
    <c:plotArea>
      <c:layout/>
      <c:barChart>
        <c:barDir val="col"/>
        <c:grouping val="clustered"/>
        <c:varyColors val="0"/>
        <c:ser>
          <c:idx val="0"/>
          <c:order val="0"/>
          <c:tx>
            <c:strRef>
              <c:f>[工作簿1.xlsx]Sheet1!$O$26</c:f>
              <c:strCache>
                <c:ptCount val="1"/>
                <c:pt idx="0">
                  <c:v>经营收入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[工作簿1.xlsx]Sheet1!$N$27:$N$29</c:f>
              <c:strCache>
                <c:ptCount val="3"/>
                <c:pt idx="0">
                  <c:v>2019年</c:v>
                </c:pt>
                <c:pt idx="1">
                  <c:v>2020年</c:v>
                </c:pt>
                <c:pt idx="2">
                  <c:v>2021年</c:v>
                </c:pt>
              </c:strCache>
            </c:strRef>
          </c:cat>
          <c:val>
            <c:numRef>
              <c:f>[工作簿1.xlsx]Sheet1!$O$27:$O$29</c:f>
              <c:numCache>
                <c:formatCode>General</c:formatCode>
                <c:ptCount val="3"/>
                <c:pt idx="0">
                  <c:v>382967</c:v>
                </c:pt>
                <c:pt idx="1">
                  <c:v>54264</c:v>
                </c:pt>
                <c:pt idx="2">
                  <c:v>273470</c:v>
                </c:pt>
              </c:numCache>
            </c:numRef>
          </c:val>
        </c:ser>
        <c:dLbls>
          <c:showLegendKey val="0"/>
          <c:showVal val="1"/>
          <c:showCatName val="0"/>
          <c:showSerName val="0"/>
          <c:showPercent val="0"/>
          <c:showBubbleSize val="0"/>
        </c:dLbls>
        <c:gapWidth val="370"/>
        <c:overlap val="-27"/>
        <c:axId val="856032322"/>
        <c:axId val="439150177"/>
      </c:barChart>
      <c:lineChart>
        <c:grouping val="standard"/>
        <c:varyColors val="0"/>
        <c:ser>
          <c:idx val="1"/>
          <c:order val="1"/>
          <c:tx>
            <c:strRef>
              <c:f>[工作簿1.xlsx]Sheet1!$P$26</c:f>
              <c:strCache>
                <c:ptCount val="1"/>
                <c:pt idx="0">
                  <c:v>线性</c:v>
                </c:pt>
              </c:strCache>
            </c:strRef>
          </c:tx>
          <c:spPr>
            <a:ln w="28575" cap="rnd">
              <a:solidFill>
                <a:schemeClr val="accent3"/>
              </a:solidFill>
              <a:round/>
            </a:ln>
            <a:effectLst/>
          </c:spPr>
          <c:marker>
            <c:symbol val="none"/>
          </c:marker>
          <c:dLbls>
            <c:delete val="1"/>
          </c:dLbls>
          <c:cat>
            <c:strRef>
              <c:f>[工作簿1.xlsx]Sheet1!$N$27:$N$29</c:f>
              <c:strCache>
                <c:ptCount val="3"/>
                <c:pt idx="0">
                  <c:v>2019年</c:v>
                </c:pt>
                <c:pt idx="1">
                  <c:v>2020年</c:v>
                </c:pt>
                <c:pt idx="2">
                  <c:v>2021年</c:v>
                </c:pt>
              </c:strCache>
            </c:strRef>
          </c:cat>
          <c:val>
            <c:numRef>
              <c:f>[工作簿1.xlsx]Sheet1!$P$27:$P$29</c:f>
              <c:numCache>
                <c:formatCode>General</c:formatCode>
                <c:ptCount val="3"/>
                <c:pt idx="0">
                  <c:v>382967</c:v>
                </c:pt>
                <c:pt idx="1">
                  <c:v>54264</c:v>
                </c:pt>
                <c:pt idx="2">
                  <c:v>273470</c:v>
                </c:pt>
              </c:numCache>
            </c:numRef>
          </c:val>
          <c:smooth val="0"/>
        </c:ser>
        <c:dLbls>
          <c:showLegendKey val="0"/>
          <c:showVal val="1"/>
          <c:showCatName val="0"/>
          <c:showSerName val="0"/>
          <c:showPercent val="0"/>
          <c:showBubbleSize val="0"/>
        </c:dLbls>
        <c:marker val="0"/>
        <c:smooth val="0"/>
        <c:axId val="856032322"/>
        <c:axId val="439150177"/>
      </c:lineChart>
      <c:catAx>
        <c:axId val="85603232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9150177"/>
        <c:crosses val="autoZero"/>
        <c:auto val="1"/>
        <c:lblAlgn val="ctr"/>
        <c:lblOffset val="100"/>
        <c:noMultiLvlLbl val="0"/>
      </c:catAx>
      <c:valAx>
        <c:axId val="43915017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603232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t>演出场次（万场）</a:t>
            </a:r>
          </a:p>
        </c:rich>
      </c:tx>
      <c:layout/>
      <c:overlay val="0"/>
      <c:spPr>
        <a:noFill/>
        <a:ln>
          <a:noFill/>
        </a:ln>
        <a:effectLst/>
      </c:spPr>
    </c:title>
    <c:autoTitleDeleted val="0"/>
    <c:plotArea>
      <c:layout/>
      <c:pieChart>
        <c:varyColors val="1"/>
        <c:ser>
          <c:idx val="0"/>
          <c:order val="0"/>
          <c:tx>
            <c:strRef>
              <c:f>[工作簿1.xlsx]Sheet1!$M$122</c:f>
              <c:strCache>
                <c:ptCount val="1"/>
                <c:pt idx="0">
                  <c:v>演出场次</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11.44（</a:t>
                    </a:r>
                    <a:r>
                      <a:rPr lang="en-US" altLang="zh-CN"/>
                      <a:t>60.31%</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7.48（</a:t>
                    </a:r>
                    <a:r>
                      <a:rPr lang="en-US" altLang="zh-CN"/>
                      <a:t>39.43%</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0.05（</a:t>
                    </a:r>
                    <a:r>
                      <a:rPr lang="en-US" altLang="zh-CN"/>
                      <a:t>0.26%</a:t>
                    </a:r>
                    <a:r>
                      <a:t>）</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[工作簿1.xlsx]Sheet1!$L$123:$L$125</c:f>
              <c:strCache>
                <c:ptCount val="3"/>
                <c:pt idx="0">
                  <c:v>专业剧场演出</c:v>
                </c:pt>
                <c:pt idx="1">
                  <c:v>旅游演艺</c:v>
                </c:pt>
                <c:pt idx="2">
                  <c:v>大型演唱会、音乐节</c:v>
                </c:pt>
              </c:strCache>
            </c:strRef>
          </c:cat>
          <c:val>
            <c:numRef>
              <c:f>[工作簿1.xlsx]Sheet1!$M$123:$M$125</c:f>
              <c:numCache>
                <c:formatCode>General</c:formatCode>
                <c:ptCount val="3"/>
                <c:pt idx="0">
                  <c:v>11.44</c:v>
                </c:pt>
                <c:pt idx="1">
                  <c:v>7.48</c:v>
                </c:pt>
                <c:pt idx="2">
                  <c:v>0.05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t>票房收入（亿元）</a:t>
            </a:r>
          </a:p>
        </c:rich>
      </c:tx>
      <c:layout/>
      <c:overlay val="0"/>
      <c:spPr>
        <a:noFill/>
        <a:ln>
          <a:noFill/>
        </a:ln>
        <a:effectLst/>
      </c:spPr>
    </c:title>
    <c:autoTitleDeleted val="0"/>
    <c:plotArea>
      <c:layout/>
      <c:pieChart>
        <c:varyColors val="1"/>
        <c:ser>
          <c:idx val="0"/>
          <c:order val="0"/>
          <c:tx>
            <c:strRef>
              <c:f>[工作簿1.xlsx]Sheet1!$M$129</c:f>
              <c:strCache>
                <c:ptCount val="1"/>
                <c:pt idx="0">
                  <c:v>票房收入</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78.09（</a:t>
                    </a:r>
                    <a:r>
                      <a:rPr lang="en-US" altLang="zh-CN"/>
                      <a:t>55.67%</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42.21（</a:t>
                    </a:r>
                    <a:r>
                      <a:rPr lang="en-US" altLang="zh-CN"/>
                      <a:t>30.09%</a:t>
                    </a:r>
                    <a:r>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19.98（</a:t>
                    </a:r>
                    <a:r>
                      <a:rPr lang="en-US" altLang="zh-CN"/>
                      <a:t>14.24%</a:t>
                    </a:r>
                    <a:r>
                      <a:t>）</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[工作簿1.xlsx]Sheet1!$L$130:$L$132</c:f>
              <c:strCache>
                <c:ptCount val="3"/>
                <c:pt idx="0">
                  <c:v>专业剧场演出</c:v>
                </c:pt>
                <c:pt idx="1">
                  <c:v>旅游演艺</c:v>
                </c:pt>
                <c:pt idx="2">
                  <c:v>大型演唱会、音乐节</c:v>
                </c:pt>
              </c:strCache>
            </c:strRef>
          </c:cat>
          <c:val>
            <c:numRef>
              <c:f>[工作簿1.xlsx]Sheet1!$M$130:$M$132</c:f>
              <c:numCache>
                <c:formatCode>General</c:formatCode>
                <c:ptCount val="3"/>
                <c:pt idx="0">
                  <c:v>78.09</c:v>
                </c:pt>
                <c:pt idx="1">
                  <c:v>42.21</c:v>
                </c:pt>
                <c:pt idx="2">
                  <c:v>19.98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4">
  <a:schemeClr val="accent1"/>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196</Pages>
  <Words>70922</Words>
  <Characters>76741</Characters>
  <Lines>0</Lines>
  <Paragraphs>0</Paragraphs>
  <TotalTime>264</TotalTime>
  <ScaleCrop>false</ScaleCrop>
  <LinksUpToDate>false</LinksUpToDate>
  <CharactersWithSpaces>77394</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2022-12-06T09:53:00Z</dcterms:created>
  <dc:creator>李俐.lili</dc:creator>
  <cp:lastModifiedBy>13679012967</cp:lastModifiedBy>
  <dcterms:modified xsi:type="dcterms:W3CDTF">2023-12-05T20:58:12Z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2720105B1E3D4346AAA5D885E8AB5DD4</vt:lpwstr>
  </property>
</Properties>
</file>